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C1" w:rsidRPr="001E1C16" w:rsidRDefault="007857C1" w:rsidP="007857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C00000"/>
          <w:sz w:val="20"/>
          <w:lang w:val="ru-RU"/>
        </w:rPr>
      </w:pPr>
      <w:r w:rsidRPr="00C23501">
        <w:rPr>
          <w:rFonts w:ascii="Arial" w:hAnsi="Arial" w:cs="Arial"/>
          <w:b/>
          <w:bCs/>
          <w:caps/>
          <w:color w:val="C00000"/>
          <w:sz w:val="20"/>
          <w:lang w:val="ru-RU"/>
        </w:rPr>
        <w:t>Правила</w:t>
      </w:r>
      <w:r w:rsidR="0056114E"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  <w:r w:rsidR="0056114E">
        <w:rPr>
          <w:rFonts w:ascii="Arial" w:hAnsi="Arial" w:cs="Arial"/>
          <w:b/>
          <w:bCs/>
          <w:caps/>
          <w:color w:val="C00000"/>
          <w:sz w:val="20"/>
          <w:lang w:val="ru-RU"/>
        </w:rPr>
        <w:t>и</w:t>
      </w:r>
      <w:r w:rsidR="0056114E"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  <w:r w:rsidR="0056114E">
        <w:rPr>
          <w:rFonts w:ascii="Arial" w:hAnsi="Arial" w:cs="Arial"/>
          <w:b/>
          <w:bCs/>
          <w:caps/>
          <w:color w:val="C00000"/>
          <w:sz w:val="20"/>
          <w:lang w:val="ru-RU"/>
        </w:rPr>
        <w:t>примеры</w:t>
      </w:r>
      <w:r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  <w:r w:rsidRPr="00C23501">
        <w:rPr>
          <w:rFonts w:ascii="Arial" w:hAnsi="Arial" w:cs="Arial"/>
          <w:b/>
          <w:bCs/>
          <w:caps/>
          <w:color w:val="C00000"/>
          <w:sz w:val="20"/>
          <w:lang w:val="ru-RU"/>
        </w:rPr>
        <w:t>оформления</w:t>
      </w:r>
      <w:r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  <w:r w:rsidRPr="00C23501">
        <w:rPr>
          <w:rFonts w:ascii="Arial" w:hAnsi="Arial" w:cs="Arial"/>
          <w:b/>
          <w:bCs/>
          <w:caps/>
          <w:color w:val="C00000"/>
          <w:sz w:val="20"/>
          <w:lang w:val="ru-RU"/>
        </w:rPr>
        <w:t>списка</w:t>
      </w:r>
      <w:r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  <w:r w:rsidR="00E201BE">
        <w:rPr>
          <w:rFonts w:ascii="Arial" w:hAnsi="Arial" w:cs="Arial"/>
          <w:b/>
          <w:bCs/>
          <w:caps/>
          <w:color w:val="C00000"/>
          <w:sz w:val="20"/>
          <w:lang w:val="ru-RU"/>
        </w:rPr>
        <w:t>ИСТОЧНИКОВ</w:t>
      </w:r>
      <w:r w:rsidRPr="001E1C16">
        <w:rPr>
          <w:rFonts w:ascii="Arial" w:hAnsi="Arial" w:cs="Arial"/>
          <w:b/>
          <w:bCs/>
          <w:caps/>
          <w:color w:val="C00000"/>
          <w:sz w:val="20"/>
          <w:lang w:val="ru-RU"/>
        </w:rPr>
        <w:t xml:space="preserve"> </w:t>
      </w:r>
    </w:p>
    <w:p w:rsidR="007857C1" w:rsidRPr="00C23501" w:rsidRDefault="007857C1" w:rsidP="007857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C00000"/>
          <w:sz w:val="20"/>
          <w:lang w:val="ru-RU"/>
        </w:rPr>
      </w:pPr>
      <w:r w:rsidRPr="00C23501">
        <w:rPr>
          <w:rFonts w:ascii="Arial" w:hAnsi="Arial" w:cs="Arial"/>
          <w:b/>
          <w:bCs/>
          <w:caps/>
          <w:color w:val="C00000"/>
          <w:sz w:val="20"/>
          <w:lang w:val="ru-RU"/>
        </w:rPr>
        <w:t>в журнале «Искусство Евразии»</w:t>
      </w:r>
    </w:p>
    <w:p w:rsidR="007857C1" w:rsidRPr="00C23501" w:rsidRDefault="007857C1" w:rsidP="007857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lang w:val="ru-RU"/>
        </w:rPr>
      </w:pPr>
    </w:p>
    <w:p w:rsidR="001B6F17" w:rsidRPr="00A36122" w:rsidRDefault="001B6F17" w:rsidP="001B6F17">
      <w:pPr>
        <w:autoSpaceDE w:val="0"/>
        <w:autoSpaceDN w:val="0"/>
        <w:adjustRightInd w:val="0"/>
        <w:spacing w:after="120" w:line="240" w:lineRule="auto"/>
        <w:ind w:firstLine="426"/>
        <w:jc w:val="right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Дата обновления: 20.04.2022</w:t>
      </w:r>
    </w:p>
    <w:p w:rsidR="00E201BE" w:rsidRDefault="00E201BE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Список должен включать все источники, которые использованы в тексте, по которым можно проверить достоверность использованных методов, продемонстрировать осведомленность о предшествовавших исследованию достижениях по теме статьи и показать глубину собственных исследований. Список </w:t>
      </w:r>
      <w:r w:rsidR="00BA2BB4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источников</w:t>
      </w:r>
      <w:r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также является</w:t>
      </w:r>
      <w:r w:rsidR="009265BF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инструментом продвижения в международные базы данных научного цитирования и индикатором научного кругозора автора. Количество иностранных источников в списке литературы свидетельствует об осведомленности автора о достижениях зарубежных коллег, а также широте владения темой. Список источников представляется в Редакцию на русском</w:t>
      </w:r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(</w:t>
      </w:r>
      <w:r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Список источников</w:t>
      </w:r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)</w:t>
      </w:r>
      <w:r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и английском языках</w:t>
      </w:r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(</w:t>
      </w:r>
      <w:proofErr w:type="spellStart"/>
      <w:r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References</w:t>
      </w:r>
      <w:proofErr w:type="spellEnd"/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)</w:t>
      </w:r>
      <w:r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.</w:t>
      </w:r>
    </w:p>
    <w:p w:rsidR="00E201BE" w:rsidRPr="00E201BE" w:rsidRDefault="001E1C16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proofErr w:type="gramStart"/>
      <w:r w:rsidRPr="001E1C16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Рекомендуется наряду с другими включать в список источники, </w:t>
      </w:r>
      <w:r w:rsidRPr="001E1C16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изданные 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в последние</w:t>
      </w:r>
      <w:r w:rsidRPr="001E1C16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5 лет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.</w:t>
      </w:r>
      <w:proofErr w:type="gramEnd"/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Pr="001E1C16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Не рекомендуется</w:t>
      </w:r>
      <w:r w:rsidR="00E201BE"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E201BE" w:rsidRPr="001E1C16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злоупотреблять</w:t>
      </w:r>
      <w:r w:rsidR="00E201BE"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E201BE"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самоцитирование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м</w:t>
      </w:r>
      <w:proofErr w:type="spellEnd"/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, которое не должно превышать 1</w:t>
      </w:r>
      <w:r w:rsidR="00E201BE" w:rsidRPr="00E201BE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0%</w:t>
      </w:r>
      <w:r w:rsidR="00E201BE"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от общего количества </w:t>
      </w:r>
      <w:r w:rsidR="0005073F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источников в списке литературы.</w:t>
      </w:r>
    </w:p>
    <w:p w:rsidR="00E201BE" w:rsidRPr="00830888" w:rsidRDefault="006B7462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Желательно, чтобы с</w:t>
      </w:r>
      <w:r w:rsid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писок </w:t>
      </w:r>
      <w:r w:rsidR="00E201BE"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достаточно полно отражал использованные авторами источники и, как правило, </w:t>
      </w:r>
      <w:r w:rsidR="0005073F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включал</w:t>
      </w:r>
      <w:r w:rsidR="00E201BE"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не ме</w:t>
      </w:r>
      <w:r w:rsidR="00E201BE" w:rsidRPr="001E1C16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нее </w:t>
      </w:r>
      <w:r w:rsidR="001E1C16" w:rsidRPr="001E1C16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1</w:t>
      </w:r>
      <w:r w:rsidR="00E201BE" w:rsidRPr="001E1C16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0 </w:t>
      </w:r>
      <w:r w:rsidR="0005073F" w:rsidRPr="001E1C16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наименований</w:t>
      </w:r>
      <w:r w:rsidR="00E201BE" w:rsidRPr="001E1C16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.</w:t>
      </w:r>
      <w:r w:rsidR="00E201BE"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Также важно, чтобы авторы при подготовке публикации учитывали зарубежные исследования. В списках литературы это может быть</w:t>
      </w:r>
      <w:r w:rsid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, например,</w:t>
      </w:r>
      <w:r w:rsidR="00E201BE" w:rsidRPr="00E201BE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E201BE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продемонстрировано объемом 30–40% иностранных источников. На каждый источник, включенный в 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с</w:t>
      </w:r>
      <w:r w:rsidR="00E201BE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писок, должна быть дана </w:t>
      </w:r>
      <w:r w:rsidR="00E201BE"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ссылка в квадратных скобках в тексте статьи</w:t>
      </w:r>
      <w:r w:rsidR="00AC1C94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, например:</w:t>
      </w:r>
      <w:r w:rsidR="00AC1C94"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AC1C94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[1, с. 52; 2, с. 144]</w:t>
      </w:r>
      <w:r w:rsidR="00E201BE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.</w:t>
      </w:r>
    </w:p>
    <w:p w:rsidR="00830888" w:rsidRPr="00830888" w:rsidRDefault="00830888" w:rsidP="008308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</w:pPr>
    </w:p>
    <w:p w:rsidR="00830888" w:rsidRPr="00830888" w:rsidRDefault="00830888" w:rsidP="008308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Список источников</w:t>
      </w:r>
    </w:p>
    <w:p w:rsidR="00BA2BB4" w:rsidRPr="00830888" w:rsidRDefault="00E33110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Список источников</w:t>
      </w:r>
      <w:r w:rsidR="006B7462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(ГОСТ </w:t>
      </w:r>
      <w:proofErr w:type="gramStart"/>
      <w:r w:rsidR="006B7462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Р</w:t>
      </w:r>
      <w:proofErr w:type="gramEnd"/>
      <w:r w:rsidR="006B7462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7.0.7–2021)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помещается </w:t>
      </w:r>
      <w:r w:rsidR="00BA2BB4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после текста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статьи и формируется </w:t>
      </w:r>
      <w:r w:rsidR="00BA2BB4"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в порядке упоминания источников</w:t>
      </w:r>
      <w:r w:rsidR="000A59CC"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0A59CC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независимо от языка, на котором дана работа</w:t>
      </w:r>
      <w:r w:rsidR="00BA2BB4"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(при повторном цитировании источника сохраняется номер, присвоенный при первом упоминании).</w:t>
      </w:r>
      <w:r w:rsid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830888" w:rsidRPr="002412DA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Указания на архивы включаются в общий список</w:t>
      </w:r>
      <w:r w:rsid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источников</w:t>
      </w:r>
      <w:r w:rsidR="00830888" w:rsidRPr="002412DA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.</w:t>
      </w:r>
    </w:p>
    <w:p w:rsidR="00015174" w:rsidRPr="00830888" w:rsidRDefault="00015174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proofErr w:type="gramStart"/>
      <w:r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 xml:space="preserve">Не включаются в список источников: 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анонимные источники (не имеющие авторства), учебники, учебные пособия, энциклопедии, словари и другие справочники, нормативные и законодательные акты (постановления, законы, инструкции и т. п.), доклады, отчеты, записки, протоколы, аудио- и видеозаписи интервью, фильмы.</w:t>
      </w:r>
      <w:proofErr w:type="gramEnd"/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На все эти источники делаются постраничные сноски в тексте со сквозной нумерацией, например:</w:t>
      </w:r>
    </w:p>
    <w:p w:rsidR="00015174" w:rsidRPr="00830888" w:rsidRDefault="00015174" w:rsidP="0083088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vertAlign w:val="superscript"/>
          <w:lang w:val="ru-RU"/>
        </w:rPr>
        <w:t>1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Сайт Государственного Русского музея. URL: https://www.rusmuseum.ru/ (дата обращения: 20.02.2021).</w:t>
      </w:r>
    </w:p>
    <w:p w:rsidR="005A23B2" w:rsidRPr="00830888" w:rsidRDefault="005A23B2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При составлении списка необходимо тщательно проверять корректность библиографических сведений цитируемых источников, особенно выходных данных использованных статей (название журнала, год, номер, страницы) и включать в описание </w:t>
      </w:r>
      <w:r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DOI статьи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, при его наличии.</w:t>
      </w:r>
    </w:p>
    <w:p w:rsidR="005A23B2" w:rsidRPr="00830888" w:rsidRDefault="005A23B2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Фамилии авторов и заглавия статей желательно брать непосредственно из первоисточников, соблюдая последовательность ФИО авторов в статье, а также заглавие статьи на русском и английском языках.</w:t>
      </w:r>
    </w:p>
    <w:p w:rsidR="006B7462" w:rsidRPr="00830888" w:rsidRDefault="005A23B2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Все названия журналов желательно приводить без сокращений, соблюдая их точное описание.</w:t>
      </w:r>
    </w:p>
    <w:p w:rsidR="00015174" w:rsidRPr="00830888" w:rsidRDefault="004B218E" w:rsidP="00E365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При оформлении списка источников рекомендуется </w:t>
      </w:r>
      <w:r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обращать внимание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Pr="00830888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на примеры ниже</w:t>
      </w:r>
      <w:r w:rsidRPr="00830888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, учитывая все детали (интервалы, знаки препинания, заглавные буквы, курсив и пр.).</w:t>
      </w:r>
    </w:p>
    <w:p w:rsidR="00015174" w:rsidRDefault="00015174" w:rsidP="00E20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</w:p>
    <w:p w:rsidR="002412DA" w:rsidRPr="002412DA" w:rsidRDefault="002412DA" w:rsidP="00C23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References</w:t>
      </w:r>
    </w:p>
    <w:p w:rsidR="00321691" w:rsidRDefault="00321691" w:rsidP="003216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</w:pPr>
      <w:r w:rsidRPr="00321691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Библиографические описания следует составлять в стиле </w:t>
      </w:r>
      <w:proofErr w:type="spellStart"/>
      <w:r w:rsidR="009265BF" w:rsidRP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Harvard</w:t>
      </w:r>
      <w:proofErr w:type="spellEnd"/>
      <w:r w:rsidR="009265BF" w:rsidRP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Pr="00321691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в версии </w:t>
      </w:r>
      <w:proofErr w:type="spellStart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Cite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Them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Right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11th </w:t>
      </w:r>
      <w:proofErr w:type="spellStart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edition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. </w:t>
      </w:r>
      <w:r w:rsidRPr="005A23B2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Для подготовки списка литературы в данной системе можно использовать автоматические системы подготовки списка литературы (</w:t>
      </w:r>
      <w:proofErr w:type="spellStart"/>
      <w:r w:rsidRPr="00E365AB">
        <w:rPr>
          <w:rFonts w:ascii="Arial" w:hAnsi="Arial" w:cs="Arial"/>
          <w:bCs/>
          <w:color w:val="C00000"/>
          <w:sz w:val="20"/>
          <w:szCs w:val="20"/>
          <w:lang w:val="ru-RU"/>
        </w:rPr>
        <w:fldChar w:fldCharType="begin"/>
      </w:r>
      <w:r w:rsidRPr="00E365AB">
        <w:rPr>
          <w:rFonts w:ascii="Arial" w:hAnsi="Arial" w:cs="Arial"/>
          <w:bCs/>
          <w:color w:val="C00000"/>
          <w:sz w:val="20"/>
          <w:szCs w:val="20"/>
          <w:lang w:val="ru-RU"/>
        </w:rPr>
        <w:instrText xml:space="preserve"> HYPERLINK "https://endnote.com/" </w:instrText>
      </w:r>
      <w:r w:rsidRPr="00E365AB">
        <w:rPr>
          <w:rFonts w:ascii="Arial" w:hAnsi="Arial" w:cs="Arial"/>
          <w:bCs/>
          <w:color w:val="C00000"/>
          <w:sz w:val="20"/>
          <w:szCs w:val="20"/>
          <w:lang w:val="ru-RU"/>
        </w:rPr>
        <w:fldChar w:fldCharType="separate"/>
      </w:r>
      <w:r w:rsidRPr="00E365AB">
        <w:rPr>
          <w:rStyle w:val="a3"/>
          <w:rFonts w:ascii="Arial" w:hAnsi="Arial" w:cs="Arial"/>
          <w:bCs/>
          <w:color w:val="C00000"/>
          <w:sz w:val="20"/>
          <w:szCs w:val="20"/>
          <w:lang w:val="ru-RU"/>
        </w:rPr>
        <w:t>EndNote</w:t>
      </w:r>
      <w:proofErr w:type="spellEnd"/>
      <w:r w:rsidRPr="00E365AB">
        <w:rPr>
          <w:rFonts w:ascii="Arial" w:hAnsi="Arial" w:cs="Arial"/>
          <w:bCs/>
          <w:color w:val="C00000"/>
          <w:sz w:val="20"/>
          <w:szCs w:val="20"/>
          <w:lang w:val="ru-RU"/>
        </w:rPr>
        <w:fldChar w:fldCharType="end"/>
      </w:r>
      <w:r w:rsidRPr="005A23B2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, </w:t>
      </w:r>
      <w:hyperlink r:id="rId9" w:history="1">
        <w:proofErr w:type="spellStart"/>
        <w:r w:rsidRPr="00E365AB">
          <w:rPr>
            <w:rStyle w:val="a3"/>
            <w:rFonts w:ascii="Arial" w:hAnsi="Arial" w:cs="Arial"/>
            <w:bCs/>
            <w:color w:val="C00000"/>
            <w:sz w:val="20"/>
            <w:szCs w:val="20"/>
            <w:lang w:val="ru-RU"/>
          </w:rPr>
          <w:t>Mendeley</w:t>
        </w:r>
        <w:proofErr w:type="spellEnd"/>
      </w:hyperlink>
      <w:r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 xml:space="preserve">, </w:t>
      </w:r>
      <w:hyperlink r:id="rId10" w:history="1">
        <w:proofErr w:type="spellStart"/>
        <w:r w:rsidRPr="00E365AB">
          <w:rPr>
            <w:rStyle w:val="a3"/>
            <w:rFonts w:ascii="Arial" w:hAnsi="Arial" w:cs="Arial"/>
            <w:bCs/>
            <w:color w:val="C00000"/>
            <w:sz w:val="20"/>
            <w:szCs w:val="20"/>
          </w:rPr>
          <w:t>Zotero</w:t>
        </w:r>
        <w:proofErr w:type="spellEnd"/>
      </w:hyperlink>
      <w:r w:rsidRPr="00E365AB">
        <w:rPr>
          <w:rFonts w:ascii="Arial" w:hAnsi="Arial" w:cs="Arial"/>
          <w:bCs/>
          <w:color w:val="C00000"/>
          <w:sz w:val="20"/>
          <w:szCs w:val="20"/>
          <w:lang w:val="ru-RU"/>
        </w:rPr>
        <w:t xml:space="preserve"> </w:t>
      </w:r>
      <w:r w:rsidRPr="005A23B2">
        <w:rPr>
          <w:rFonts w:ascii="Arial" w:hAnsi="Arial" w:cs="Arial"/>
          <w:bCs/>
          <w:color w:val="404040" w:themeColor="text1" w:themeTint="BF"/>
          <w:sz w:val="20"/>
          <w:szCs w:val="20"/>
          <w:lang w:val="ru-RU"/>
        </w:rPr>
        <w:t>и др.).</w:t>
      </w:r>
    </w:p>
    <w:p w:rsidR="00165C5D" w:rsidRDefault="007F26BD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0449E0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Перевод и транслитерация</w:t>
      </w:r>
      <w:r w:rsidRPr="007F26BD"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  <w:t>.</w:t>
      </w:r>
      <w:r w:rsidRPr="007F26BD">
        <w:rPr>
          <w:lang w:val="ru-RU"/>
        </w:rPr>
        <w:t xml:space="preserve"> </w:t>
      </w:r>
      <w:r w:rsidRPr="007F26B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Если цитируемая статья написана на латинице (на английском, немецком, испанском, итальянском, финском, датском и других языках, использующих романский алфавит), ссылку на не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е</w:t>
      </w:r>
      <w:r w:rsidRPr="007F26B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следует привести на о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ригинальном языке опубликования, например: 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Ecochard</w:t>
      </w:r>
      <w:proofErr w:type="spellEnd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, M. (1946) </w:t>
      </w:r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‘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Le</w:t>
      </w:r>
      <w:proofErr w:type="spellEnd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nouveau</w:t>
      </w:r>
      <w:proofErr w:type="spellEnd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mus</w:t>
      </w:r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é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e</w:t>
      </w:r>
      <w:proofErr w:type="spellEnd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de</w:t>
      </w:r>
      <w:proofErr w:type="spellEnd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Damas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’,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="000449E0" w:rsidRPr="00165C5D">
        <w:rPr>
          <w:rFonts w:ascii="Arial" w:hAnsi="Arial" w:cs="Arial"/>
          <w:i/>
          <w:color w:val="404040" w:themeColor="text1" w:themeTint="BF"/>
          <w:sz w:val="20"/>
          <w:szCs w:val="20"/>
          <w:lang w:val="ru-RU"/>
        </w:rPr>
        <w:t>Mouseion</w:t>
      </w:r>
      <w:proofErr w:type="spellEnd"/>
      <w:r w:rsidR="006F37E2" w:rsidRPr="006F37E2">
        <w:rPr>
          <w:rFonts w:ascii="Arial" w:hAnsi="Arial" w:cs="Arial"/>
          <w:i/>
          <w:color w:val="404040" w:themeColor="text1" w:themeTint="BF"/>
          <w:sz w:val="20"/>
          <w:szCs w:val="20"/>
          <w:lang w:val="ru-RU"/>
        </w:rPr>
        <w:t>,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55</w:t>
      </w:r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(1-2), </w:t>
      </w:r>
      <w:proofErr w:type="spellStart"/>
      <w:r w:rsidR="006F37E2">
        <w:rPr>
          <w:rFonts w:ascii="Arial" w:hAnsi="Arial" w:cs="Arial"/>
          <w:color w:val="404040" w:themeColor="text1" w:themeTint="BF"/>
          <w:sz w:val="20"/>
          <w:szCs w:val="20"/>
        </w:rPr>
        <w:t>pp</w:t>
      </w:r>
      <w:proofErr w:type="spellEnd"/>
      <w:r w:rsidR="006F37E2" w:rsidRP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107</w:t>
      </w:r>
      <w:r w:rsid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–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143. (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</w:rPr>
        <w:t>French</w:t>
      </w:r>
      <w:r w:rsidR="000449E0"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).</w:t>
      </w:r>
      <w:r w:rsidR="000449E0"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</w:p>
    <w:p w:rsidR="00165C5D" w:rsidRPr="006F37E2" w:rsidRDefault="000449E0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Если статья написана НЕ на латинице — на кириллице (в том числе, на русском), иероглифами</w:t>
      </w:r>
      <w:r w:rsid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, арабским письмом</w:t>
      </w:r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и т. д.,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то для названия статей</w:t>
      </w:r>
      <w:r w:rsid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и книг</w:t>
      </w:r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нужно привести официальный перевод или выполнить перевод на</w:t>
      </w:r>
      <w:r w:rsid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английский язык самостоятельно</w:t>
      </w:r>
      <w:r w:rsidR="006F37E2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</w:p>
    <w:p w:rsidR="000449E0" w:rsidRDefault="000449E0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ФИО авторов, редакторов.</w:t>
      </w:r>
      <w:r w:rsidR="009265BF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 xml:space="preserve"> </w:t>
      </w:r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Фамилии и инициалы всех авторов на латинице следует приводить так, как они даны в оригинальной публикации. Если в оригинальной публикации уже были приведены на латинице ФИО авторов — в ссылке на статью следует указывать именно этот вариант (независимо от использованной системы транслитерации в первоисточнике). Если в официальных источниках (на сайте журнала, в </w:t>
      </w:r>
      <w:proofErr w:type="gramStart"/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базах</w:t>
      </w:r>
      <w:proofErr w:type="gramEnd"/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данных, в том числе — в </w:t>
      </w:r>
      <w:proofErr w:type="spellStart"/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eLibrary</w:t>
      </w:r>
      <w:proofErr w:type="spellEnd"/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) ФИО авторов на латинице не приведены — </w:t>
      </w:r>
      <w:r w:rsidRPr="000449E0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lastRenderedPageBreak/>
        <w:t xml:space="preserve">следует транслитерировать их самостоятельно по </w:t>
      </w:r>
      <w:hyperlink r:id="rId11" w:history="1">
        <w:r w:rsidR="009265BF" w:rsidRPr="00130D80">
          <w:rPr>
            <w:rStyle w:val="a3"/>
            <w:rFonts w:ascii="Arial" w:hAnsi="Arial" w:cs="Arial"/>
            <w:color w:val="C00000"/>
            <w:sz w:val="20"/>
            <w:szCs w:val="20"/>
            <w:lang w:val="ru-RU"/>
          </w:rPr>
          <w:t xml:space="preserve">стандарту </w:t>
        </w:r>
        <w:r w:rsidR="009265BF" w:rsidRPr="00130D80">
          <w:rPr>
            <w:rStyle w:val="a3"/>
            <w:rFonts w:ascii="Arial" w:hAnsi="Arial" w:cs="Arial"/>
            <w:color w:val="C00000"/>
            <w:sz w:val="20"/>
            <w:szCs w:val="20"/>
          </w:rPr>
          <w:t>BGN</w:t>
        </w:r>
        <w:r w:rsidR="009265BF" w:rsidRPr="00130D80">
          <w:rPr>
            <w:rStyle w:val="a3"/>
            <w:rFonts w:ascii="Arial" w:hAnsi="Arial" w:cs="Arial"/>
            <w:color w:val="C00000"/>
            <w:sz w:val="20"/>
            <w:szCs w:val="20"/>
            <w:lang w:val="ru-RU"/>
          </w:rPr>
          <w:t xml:space="preserve"> (сервис https://transliteration.pro/bgn-pcgn</w:t>
        </w:r>
      </w:hyperlink>
      <w:r w:rsidR="009265BF" w:rsidRPr="00130D80">
        <w:rPr>
          <w:rFonts w:ascii="Arial" w:hAnsi="Arial" w:cs="Arial"/>
          <w:color w:val="C00000"/>
          <w:sz w:val="20"/>
          <w:szCs w:val="20"/>
          <w:lang w:val="ru-RU"/>
        </w:rPr>
        <w:t>)</w:t>
      </w:r>
      <w:r w:rsid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</w:p>
    <w:p w:rsidR="00165C5D" w:rsidRDefault="00165C5D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Название публикации.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Если у цитируемой работы существует официальный перевод на английский язык или англоязычный вариант названия (его следует искать на сайте журнала, в </w:t>
      </w:r>
      <w:proofErr w:type="gram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базах</w:t>
      </w:r>
      <w:proofErr w:type="gram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данных, в том числе</w:t>
      </w:r>
      <w:r w:rsidR="009265BF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в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eLibrary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) — следует указать именно его. Если в официальных источниках название публикации на латинице не приведено — следует выполнить перевод на английский язык самостоятельно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</w:p>
    <w:p w:rsidR="00165C5D" w:rsidRDefault="00165C5D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165C5D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Название издания (журнала).</w:t>
      </w:r>
      <w:r w:rsidR="009265BF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 xml:space="preserve"> 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Некоторые не англоязычные научные издания (журналы) имеют кроме названия на родном языке, официальное «параллельное» название на английском. Таким образом, для списка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References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в ссылке на статью из русскоязычного журнала следует указать либо транслитерированное название журнала, либо переводное. Переводное название журнала можно взять либо с официального сайта журнала (или использовать данные о правильном написании англоязычного названия из цитируемой статьи)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 В случае если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у журнала нет официального названия на английском языке, в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References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нужно приводить транслитерацию по системе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BGN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 Не следует самостоятельно переводить названия журналов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</w:p>
    <w:p w:rsidR="00165C5D" w:rsidRPr="00067C1E" w:rsidRDefault="00165C5D" w:rsidP="00165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165C5D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Место издания.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Место издания в ссылках всегда следует указывать на английском языке и полностью — не в транслитерации и без сокращений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: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Moscow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,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Saint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Petersburg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и т. п.</w:t>
      </w:r>
    </w:p>
    <w:p w:rsidR="00165C5D" w:rsidRDefault="00165C5D" w:rsidP="00165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165C5D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Название издательства/издателя.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Н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азвание издательства для ссылок в </w:t>
      </w:r>
      <w:r w:rsidRPr="00165C5D">
        <w:rPr>
          <w:rFonts w:ascii="Arial" w:hAnsi="Arial" w:cs="Arial"/>
          <w:color w:val="404040" w:themeColor="text1" w:themeTint="BF"/>
          <w:sz w:val="20"/>
          <w:szCs w:val="20"/>
        </w:rPr>
        <w:t>References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следует только транслитерировать (за исключением крайне редких случаев наличия у издателя параллельного официального англоязычного названия), например: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</w:rPr>
        <w:t>Nauka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</w:rPr>
        <w:t>Publ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</w:p>
    <w:p w:rsidR="00165C5D" w:rsidRDefault="00165C5D" w:rsidP="00165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165C5D">
        <w:rPr>
          <w:rFonts w:ascii="Arial" w:hAnsi="Arial" w:cs="Arial"/>
          <w:b/>
          <w:i/>
          <w:color w:val="404040" w:themeColor="text1" w:themeTint="BF"/>
          <w:sz w:val="20"/>
          <w:szCs w:val="20"/>
          <w:lang w:val="ru-RU"/>
        </w:rPr>
        <w:t>Идентификатор языка.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Если цитируемая в </w:t>
      </w:r>
      <w:proofErr w:type="spellStart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References</w:t>
      </w:r>
      <w:proofErr w:type="spellEnd"/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пуб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ликация исходно не англоязычная, то </w:t>
      </w:r>
      <w:r w:rsidRPr="00165C5D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в самом конце ссылки после указания диапазона страниц в круглых скобках следует указать идентификатор языка, на котором написан первоисточник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, например: </w:t>
      </w:r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(</w:t>
      </w:r>
      <w:proofErr w:type="spellStart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In</w:t>
      </w:r>
      <w:proofErr w:type="spellEnd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Russ</w:t>
      </w:r>
      <w:proofErr w:type="spellEnd"/>
      <w:r w:rsidR="00830888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.</w:t>
      </w:r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),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(</w:t>
      </w:r>
      <w:proofErr w:type="spellStart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In</w:t>
      </w:r>
      <w:proofErr w:type="spellEnd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Chinese</w:t>
      </w:r>
      <w:proofErr w:type="spellEnd"/>
      <w:r w:rsidRPr="00E365AB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)</w:t>
      </w:r>
      <w:r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и т. п.</w:t>
      </w:r>
    </w:p>
    <w:p w:rsidR="00165C5D" w:rsidRPr="00165C5D" w:rsidRDefault="00165C5D" w:rsidP="00044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</w:p>
    <w:p w:rsidR="00E365AB" w:rsidRDefault="00E365AB" w:rsidP="002412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</w:p>
    <w:p w:rsidR="001B316B" w:rsidRDefault="001B316B" w:rsidP="0037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 w:val="20"/>
          <w:lang w:val="ru-RU"/>
        </w:rPr>
      </w:pPr>
      <w:r w:rsidRPr="001B316B">
        <w:rPr>
          <w:rFonts w:ascii="Arial" w:hAnsi="Arial" w:cs="Arial"/>
          <w:b/>
          <w:bCs/>
          <w:color w:val="404040" w:themeColor="text1" w:themeTint="BF"/>
          <w:sz w:val="20"/>
          <w:lang w:val="ru-RU"/>
        </w:rPr>
        <w:t xml:space="preserve">Примеры оформления </w:t>
      </w:r>
      <w:r w:rsidR="00E365AB">
        <w:rPr>
          <w:rFonts w:ascii="Arial" w:hAnsi="Arial" w:cs="Arial"/>
          <w:b/>
          <w:bCs/>
          <w:color w:val="404040" w:themeColor="text1" w:themeTint="BF"/>
          <w:sz w:val="20"/>
          <w:lang w:val="ru-RU"/>
        </w:rPr>
        <w:t xml:space="preserve">списка </w:t>
      </w:r>
      <w:r w:rsidRPr="001B316B">
        <w:rPr>
          <w:rFonts w:ascii="Arial" w:hAnsi="Arial" w:cs="Arial"/>
          <w:b/>
          <w:bCs/>
          <w:color w:val="404040" w:themeColor="text1" w:themeTint="BF"/>
          <w:sz w:val="20"/>
          <w:lang w:val="ru-RU"/>
        </w:rPr>
        <w:t>источников</w:t>
      </w:r>
    </w:p>
    <w:p w:rsidR="006A11CB" w:rsidRPr="00C87853" w:rsidRDefault="006A11CB" w:rsidP="0037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C00000"/>
          <w:sz w:val="18"/>
          <w:lang w:val="ru-RU"/>
        </w:rPr>
      </w:pP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О</w:t>
      </w:r>
      <w:r w:rsidR="003731F0" w:rsidRPr="00C87853">
        <w:rPr>
          <w:rFonts w:ascii="Arial" w:hAnsi="Arial" w:cs="Arial"/>
          <w:bCs/>
          <w:i/>
          <w:color w:val="C00000"/>
          <w:sz w:val="18"/>
          <w:lang w:val="ru-RU"/>
        </w:rPr>
        <w:t>братите</w:t>
      </w:r>
      <w:r w:rsidR="00630CFA" w:rsidRPr="00C87853">
        <w:rPr>
          <w:rFonts w:ascii="Arial" w:hAnsi="Arial" w:cs="Arial"/>
          <w:bCs/>
          <w:i/>
          <w:color w:val="C00000"/>
          <w:sz w:val="18"/>
          <w:lang w:val="ru-RU"/>
        </w:rPr>
        <w:t xml:space="preserve"> внимание</w:t>
      </w: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:</w:t>
      </w:r>
    </w:p>
    <w:p w:rsidR="006A11CB" w:rsidRPr="00C87853" w:rsidRDefault="006A11CB" w:rsidP="00E365AB">
      <w:pPr>
        <w:autoSpaceDE w:val="0"/>
        <w:autoSpaceDN w:val="0"/>
        <w:adjustRightInd w:val="0"/>
        <w:spacing w:after="0"/>
        <w:ind w:left="2694"/>
        <w:rPr>
          <w:rFonts w:ascii="Arial" w:hAnsi="Arial" w:cs="Arial"/>
          <w:bCs/>
          <w:i/>
          <w:color w:val="C00000"/>
          <w:sz w:val="18"/>
          <w:lang w:val="ru-RU"/>
        </w:rPr>
      </w:pP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-</w:t>
      </w:r>
      <w:r w:rsidR="00630CFA" w:rsidRPr="00C87853">
        <w:rPr>
          <w:rFonts w:ascii="Arial" w:hAnsi="Arial" w:cs="Arial"/>
          <w:bCs/>
          <w:i/>
          <w:color w:val="C00000"/>
          <w:sz w:val="18"/>
          <w:lang w:val="ru-RU"/>
        </w:rPr>
        <w:t xml:space="preserve"> на выделение </w:t>
      </w: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 xml:space="preserve">нужных частей </w:t>
      </w:r>
      <w:r w:rsidR="00630CFA" w:rsidRPr="00C87853">
        <w:rPr>
          <w:rFonts w:ascii="Arial" w:hAnsi="Arial" w:cs="Arial"/>
          <w:bCs/>
          <w:i/>
          <w:color w:val="C00000"/>
          <w:sz w:val="18"/>
          <w:lang w:val="ru-RU"/>
        </w:rPr>
        <w:t>курсивом</w:t>
      </w:r>
      <w:r w:rsidR="000346F8" w:rsidRPr="00C87853">
        <w:rPr>
          <w:rFonts w:ascii="Arial" w:hAnsi="Arial" w:cs="Arial"/>
          <w:bCs/>
          <w:i/>
          <w:color w:val="C00000"/>
          <w:sz w:val="18"/>
          <w:lang w:val="ru-RU"/>
        </w:rPr>
        <w:t>;</w:t>
      </w:r>
    </w:p>
    <w:p w:rsidR="006A11CB" w:rsidRPr="00C87853" w:rsidRDefault="006A11CB" w:rsidP="00E365AB">
      <w:pPr>
        <w:autoSpaceDE w:val="0"/>
        <w:autoSpaceDN w:val="0"/>
        <w:adjustRightInd w:val="0"/>
        <w:spacing w:after="0"/>
        <w:ind w:left="2694"/>
        <w:rPr>
          <w:rFonts w:ascii="Arial" w:hAnsi="Arial" w:cs="Arial"/>
          <w:bCs/>
          <w:i/>
          <w:color w:val="C00000"/>
          <w:sz w:val="18"/>
          <w:lang w:val="ru-RU"/>
        </w:rPr>
      </w:pP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-</w:t>
      </w:r>
      <w:r w:rsidR="006D171E" w:rsidRPr="00C87853">
        <w:rPr>
          <w:rFonts w:ascii="Arial" w:hAnsi="Arial" w:cs="Arial"/>
          <w:bCs/>
          <w:i/>
          <w:color w:val="C00000"/>
          <w:sz w:val="18"/>
          <w:lang w:val="ru-RU"/>
        </w:rPr>
        <w:t xml:space="preserve"> </w:t>
      </w: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 xml:space="preserve">на </w:t>
      </w:r>
      <w:r w:rsidR="00E365AB" w:rsidRPr="00C87853">
        <w:rPr>
          <w:rFonts w:ascii="Arial" w:hAnsi="Arial" w:cs="Arial"/>
          <w:bCs/>
          <w:i/>
          <w:color w:val="C00000"/>
          <w:sz w:val="18"/>
          <w:lang w:val="ru-RU"/>
        </w:rPr>
        <w:t>расположение инициалов авторов</w:t>
      </w: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;</w:t>
      </w:r>
    </w:p>
    <w:p w:rsidR="007857C1" w:rsidRPr="00C87853" w:rsidRDefault="006A11CB" w:rsidP="00E365AB">
      <w:pPr>
        <w:autoSpaceDE w:val="0"/>
        <w:autoSpaceDN w:val="0"/>
        <w:adjustRightInd w:val="0"/>
        <w:spacing w:after="0"/>
        <w:ind w:left="2694"/>
        <w:rPr>
          <w:rFonts w:ascii="Arial" w:hAnsi="Arial" w:cs="Arial"/>
          <w:bCs/>
          <w:i/>
          <w:color w:val="C00000"/>
          <w:sz w:val="18"/>
          <w:lang w:val="ru-RU"/>
        </w:rPr>
      </w:pPr>
      <w:r w:rsidRPr="00C87853">
        <w:rPr>
          <w:rFonts w:ascii="Arial" w:hAnsi="Arial" w:cs="Arial"/>
          <w:bCs/>
          <w:i/>
          <w:color w:val="C00000"/>
          <w:sz w:val="18"/>
          <w:lang w:val="ru-RU"/>
        </w:rPr>
        <w:t>- на правильность использования знаков пунктуации</w:t>
      </w:r>
    </w:p>
    <w:p w:rsidR="00D03A1F" w:rsidRDefault="00D03A1F" w:rsidP="000346F8">
      <w:pPr>
        <w:autoSpaceDE w:val="0"/>
        <w:autoSpaceDN w:val="0"/>
        <w:adjustRightInd w:val="0"/>
        <w:spacing w:after="0"/>
        <w:ind w:left="1701"/>
        <w:jc w:val="center"/>
        <w:rPr>
          <w:rFonts w:ascii="Arial" w:hAnsi="Arial" w:cs="Arial"/>
          <w:bCs/>
          <w:color w:val="C00000"/>
          <w:sz w:val="20"/>
          <w:lang w:val="ru-RU"/>
        </w:rPr>
      </w:pPr>
    </w:p>
    <w:p w:rsidR="00D03A1F" w:rsidRPr="00A36122" w:rsidRDefault="00D03A1F" w:rsidP="00977E5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</w:pP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Русскоязычные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7"/>
        <w:gridCol w:w="4769"/>
        <w:gridCol w:w="34"/>
      </w:tblGrid>
      <w:tr w:rsidR="00C23501" w:rsidRPr="008A7851" w:rsidTr="008A7851">
        <w:trPr>
          <w:gridAfter w:val="1"/>
          <w:wAfter w:w="34" w:type="dxa"/>
          <w:trHeight w:val="3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8A7851" w:rsidRDefault="008A7851" w:rsidP="00C23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Список источников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8A7851" w:rsidRDefault="007857C1" w:rsidP="008A78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References</w:t>
            </w:r>
          </w:p>
        </w:tc>
      </w:tr>
      <w:tr w:rsidR="008A7851" w:rsidRPr="006F37E2" w:rsidTr="008A7851">
        <w:trPr>
          <w:gridAfter w:val="1"/>
          <w:wAfter w:w="34" w:type="dxa"/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57C1" w:rsidRDefault="00752B5F" w:rsidP="0075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Статья</w:t>
            </w:r>
            <w:r w:rsidR="00CF3E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с одним, двумя или тремя авторами</w:t>
            </w: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в печатном журнале</w:t>
            </w:r>
            <w:r w:rsidR="002021A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, когда</w:t>
            </w:r>
          </w:p>
          <w:p w:rsidR="007E6C56" w:rsidRPr="007E6C56" w:rsidRDefault="007E6C56" w:rsidP="00E94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 xml:space="preserve">у 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журнала нет</w:t>
            </w: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 xml:space="preserve"> англоязычн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ого</w:t>
            </w: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 xml:space="preserve"> вариант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а</w:t>
            </w: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 xml:space="preserve"> названия</w:t>
            </w:r>
          </w:p>
        </w:tc>
      </w:tr>
      <w:tr w:rsidR="00C23501" w:rsidRPr="00383839" w:rsidTr="00283283">
        <w:trPr>
          <w:gridAfter w:val="1"/>
          <w:wAfter w:w="34" w:type="dxa"/>
          <w:trHeight w:val="10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4F" w:rsidRPr="0010054F" w:rsidRDefault="006F37E2" w:rsidP="00C8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</w:pP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Бабушкина О.В. Декодирование </w:t>
            </w:r>
            <w:proofErr w:type="spellStart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нефигуративности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и </w:t>
            </w:r>
            <w:proofErr w:type="gramStart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современных</w:t>
            </w:r>
            <w:proofErr w:type="gramEnd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арт-практик // Вопросы культурологии. 2007. № 6. С. 8–10.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4F" w:rsidRPr="007E6C56" w:rsidRDefault="006F37E2" w:rsidP="006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</w:pPr>
            <w:proofErr w:type="spellStart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Babushkina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, O.V. (2007) ‘Decoding of non-figurativeness and modern art practices’, </w:t>
            </w:r>
            <w:proofErr w:type="spellStart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18"/>
              </w:rPr>
              <w:t>Voprosy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proofErr w:type="spellStart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18"/>
              </w:rPr>
              <w:t>kul'turologii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18"/>
              </w:rPr>
              <w:t xml:space="preserve"> = Questions of cultural studies</w:t>
            </w:r>
            <w:r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, (6), pp. 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8–10. (In Russ.)</w:t>
            </w:r>
          </w:p>
        </w:tc>
      </w:tr>
      <w:tr w:rsidR="007E6C56" w:rsidRPr="006F37E2" w:rsidTr="006060FC">
        <w:trPr>
          <w:gridAfter w:val="1"/>
          <w:wAfter w:w="34" w:type="dxa"/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6C56" w:rsidRPr="006F37E2" w:rsidRDefault="007E6C56" w:rsidP="00606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Статья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с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одним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двумя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или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тремя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авторами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в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печатном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журнале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когда</w:t>
            </w:r>
          </w:p>
          <w:p w:rsidR="007E6C56" w:rsidRPr="006F37E2" w:rsidRDefault="007E6C56" w:rsidP="00E94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</w:pP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у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журнала</w:t>
            </w:r>
            <w:r w:rsidR="00E94C3D" w:rsidRPr="006F37E2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есть</w:t>
            </w:r>
            <w:r w:rsidR="00E94C3D" w:rsidRPr="006F37E2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="00E94C3D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англоязычный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вариант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а</w:t>
            </w:r>
            <w:r w:rsidRPr="006F37E2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Pr="007E6C56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названия</w:t>
            </w:r>
          </w:p>
        </w:tc>
      </w:tr>
      <w:tr w:rsidR="007E6C56" w:rsidRPr="00776C7C" w:rsidTr="007E6C56">
        <w:trPr>
          <w:gridAfter w:val="1"/>
          <w:wAfter w:w="34" w:type="dxa"/>
          <w:trHeight w:val="10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6" w:rsidRPr="006F37E2" w:rsidRDefault="00776C7C" w:rsidP="006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</w:pP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Замятин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Д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.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Н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Геокультурное</w:t>
            </w:r>
            <w:proofErr w:type="spellEnd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пространство Арктики:</w:t>
            </w:r>
            <w:r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визуализация ландшафтов и онто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л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огические модели воображения // </w:t>
            </w:r>
            <w:proofErr w:type="spellStart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Праксема</w:t>
            </w:r>
            <w:proofErr w:type="spellEnd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. 2021. 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№ 1 (27)</w:t>
            </w:r>
            <w:r w:rsidR="00C87853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.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С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. 48–94.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</w:t>
            </w:r>
            <w:r w:rsidR="004200D7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DOI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: </w:t>
            </w:r>
            <w:r w:rsidR="004200D7" w:rsidRPr="0010054F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https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://</w:t>
            </w:r>
            <w:proofErr w:type="spellStart"/>
            <w:r w:rsidR="004200D7" w:rsidRPr="0010054F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doi</w:t>
            </w:r>
            <w:proofErr w:type="spellEnd"/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.</w:t>
            </w:r>
            <w:r w:rsidR="004200D7" w:rsidRPr="0010054F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org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/10.23951/2312-7899-2021-1-48-94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C" w:rsidRPr="006F37E2" w:rsidRDefault="00776C7C" w:rsidP="006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</w:pPr>
            <w:proofErr w:type="spellStart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Zamyatin</w:t>
            </w:r>
            <w:proofErr w:type="spellEnd"/>
            <w:r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,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D.N.</w:t>
            </w:r>
            <w:r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(2021) 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‘</w:t>
            </w:r>
            <w:proofErr w:type="spellStart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Geocultural</w:t>
            </w:r>
            <w:proofErr w:type="spellEnd"/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space of the Arctic: visualization of landscapes and ontological models of imagination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’,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proofErr w:type="spellStart"/>
            <w:r w:rsidRPr="00776C7C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18"/>
              </w:rPr>
              <w:t>Praxema</w:t>
            </w:r>
            <w:proofErr w:type="spellEnd"/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,</w:t>
            </w:r>
            <w:r w:rsidRPr="00776C7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(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27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)</w:t>
            </w:r>
            <w:r w:rsidR="00226B6F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, 48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–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94.</w:t>
            </w:r>
            <w:r w:rsidR="00226B6F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="004200D7" w:rsidRPr="0010054F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doi</w:t>
            </w:r>
            <w:proofErr w:type="spellEnd"/>
            <w:proofErr w:type="gramEnd"/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: 10.23951/2312-7899-2021-1-48-94</w:t>
            </w:r>
            <w:r w:rsidR="00064D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.</w:t>
            </w:r>
            <w:r w:rsidR="004200D7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="006F37E2"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(In Russ.)</w:t>
            </w:r>
          </w:p>
        </w:tc>
      </w:tr>
      <w:tr w:rsidR="00CF3E09" w:rsidRPr="006F37E2" w:rsidTr="006060FC">
        <w:trPr>
          <w:gridAfter w:val="1"/>
          <w:wAfter w:w="34" w:type="dxa"/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09" w:rsidRPr="008A7851" w:rsidRDefault="00CF3E09" w:rsidP="00CF3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Статья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с четырьмя и более авторами</w:t>
            </w:r>
            <w:r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в печатном журнале</w:t>
            </w:r>
          </w:p>
        </w:tc>
      </w:tr>
      <w:tr w:rsidR="00CF3E09" w:rsidRPr="006F37E2" w:rsidTr="00D3422B">
        <w:trPr>
          <w:gridAfter w:val="1"/>
          <w:wAfter w:w="34" w:type="dxa"/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09" w:rsidRPr="00383839" w:rsidRDefault="004A27D6" w:rsidP="0038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</w:pPr>
            <w:r w:rsidRPr="004A27D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Каталог (иконы, отреставрированные в рамках проекта «От исторического артефакта к молельному образу») / Е.Н. </w:t>
            </w:r>
            <w:proofErr w:type="spellStart"/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Коломникова</w:t>
            </w:r>
            <w:proofErr w:type="spellEnd"/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, О.Н. </w:t>
            </w:r>
            <w:proofErr w:type="spellStart"/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Лобзова</w:t>
            </w:r>
            <w:proofErr w:type="spellEnd"/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, С.Н. </w:t>
            </w:r>
            <w:proofErr w:type="spellStart"/>
            <w:r w:rsidRPr="004A27D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Патрахин</w:t>
            </w:r>
            <w:proofErr w:type="spellEnd"/>
            <w:r w:rsidRPr="004A27D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, О.С. Филина, О.А. Нагибина // Вестник Омской православной духовной семинарии. 2020. № 2 (9). С. 48–49.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3" w:rsidRPr="006F37E2" w:rsidRDefault="00E93109" w:rsidP="006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</w:pPr>
            <w:proofErr w:type="spellStart"/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Kolomnikova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E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N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., </w:t>
            </w:r>
            <w:proofErr w:type="spellStart"/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Lobzova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O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N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., </w:t>
            </w:r>
            <w:proofErr w:type="spellStart"/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Patrakhin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S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N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="00D3422B"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,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Filina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O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S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. </w:t>
            </w:r>
            <w:r w:rsidR="00D3422B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and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Nagibina</w:t>
            </w:r>
            <w:proofErr w:type="spellEnd"/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O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.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. (2020) </w:t>
            </w:r>
            <w:r w:rsidR="006F37E2"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‘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Catalog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(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icons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restored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within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the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framework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of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the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project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“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From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historical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artifact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to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prayer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Pr="00E9310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image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”)</w:t>
            </w:r>
            <w:r w:rsidR="006F37E2"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’, </w:t>
            </w:r>
            <w:proofErr w:type="spellStart"/>
            <w:r w:rsidRPr="00E9310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Vestnik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Omskoy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pravoslavnoy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dukhovnoy</w:t>
            </w:r>
            <w:proofErr w:type="spellEnd"/>
            <w:r w:rsidRPr="006F37E2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E9310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seminarii</w:t>
            </w:r>
            <w:proofErr w:type="spellEnd"/>
            <w:r w:rsidR="006F37E2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,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(9), 48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–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49. 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In</w:t>
            </w:r>
            <w:r w:rsidRP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 xml:space="preserve"> 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Russ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.)</w:t>
            </w:r>
          </w:p>
        </w:tc>
      </w:tr>
      <w:tr w:rsidR="00830888" w:rsidRPr="006F37E2" w:rsidTr="00776E33">
        <w:trPr>
          <w:gridAfter w:val="1"/>
          <w:wAfter w:w="34" w:type="dxa"/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0888" w:rsidRPr="008A7851" w:rsidRDefault="00830888" w:rsidP="008308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Журнальная статья на языке с иероглифическим письмом </w:t>
            </w:r>
          </w:p>
        </w:tc>
      </w:tr>
      <w:tr w:rsidR="00830888" w:rsidRPr="006F37E2" w:rsidTr="00D3422B">
        <w:trPr>
          <w:gridAfter w:val="1"/>
          <w:wAfter w:w="34" w:type="dxa"/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88" w:rsidRPr="004A27D6" w:rsidRDefault="00830888" w:rsidP="00830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</w:pPr>
            <w:proofErr w:type="spellStart"/>
            <w:r w:rsidRPr="00830888">
              <w:rPr>
                <w:rFonts w:ascii="MS Gothic" w:eastAsia="MS Gothic" w:hAnsi="MS Gothic" w:cs="MS Gothic" w:hint="eastAsia"/>
                <w:bCs/>
                <w:color w:val="404040" w:themeColor="text1" w:themeTint="BF"/>
                <w:sz w:val="20"/>
                <w:szCs w:val="18"/>
                <w:lang w:val="ru-RU"/>
              </w:rPr>
              <w:t>程媛媛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830888">
              <w:rPr>
                <w:rFonts w:ascii="MS Gothic" w:eastAsia="MS Gothic" w:hAnsi="MS Gothic" w:cs="MS Gothic" w:hint="eastAsia"/>
                <w:bCs/>
                <w:color w:val="404040" w:themeColor="text1" w:themeTint="BF"/>
                <w:sz w:val="20"/>
                <w:szCs w:val="18"/>
                <w:lang w:val="ru-RU"/>
              </w:rPr>
              <w:t>当代油画的构</w:t>
            </w:r>
            <w:r w:rsidRPr="00830888">
              <w:rPr>
                <w:rFonts w:ascii="MingLiU" w:eastAsia="MingLiU" w:hAnsi="MingLiU" w:cs="MingLiU" w:hint="eastAsia"/>
                <w:bCs/>
                <w:color w:val="404040" w:themeColor="text1" w:themeTint="BF"/>
                <w:sz w:val="20"/>
                <w:szCs w:val="18"/>
                <w:lang w:val="ru-RU"/>
              </w:rPr>
              <w:t>图特点与发展趋势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830888">
              <w:rPr>
                <w:rFonts w:ascii="MingLiU" w:eastAsia="MingLiU" w:hAnsi="MingLiU" w:cs="MingLiU" w:hint="eastAsia"/>
                <w:bCs/>
                <w:color w:val="404040" w:themeColor="text1" w:themeTint="BF"/>
                <w:sz w:val="20"/>
                <w:szCs w:val="18"/>
                <w:lang w:val="ru-RU"/>
              </w:rPr>
              <w:t>艺海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2013 (8). </w:t>
            </w:r>
            <w:proofErr w:type="gram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P. 77–78 [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Чэн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Юаньюань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.</w:t>
            </w:r>
            <w:proofErr w:type="gram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Композиционные характеристики и тенденции развития современной масляной живописи // Искусство. 2013. № 8. </w:t>
            </w:r>
            <w:proofErr w:type="gram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С. 77–78].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88" w:rsidRPr="00830888" w:rsidRDefault="00830888" w:rsidP="006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</w:pP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Chéngyuànyuàn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Dāngdài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yóuhuà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de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gòutú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tèdiǎn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yǔ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fāzhǎn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qūshì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Yì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hǎi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. 2013 (8). P. 77–78 [Cheng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Yuanyuan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(2013) ‘Compositional Characteristics and Development Trends of Contemporary Oil Paintings’, </w:t>
            </w:r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  <w:lang w:val="ru-RU"/>
              </w:rPr>
              <w:t>Н</w:t>
            </w:r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 xml:space="preserve">ì </w:t>
            </w:r>
            <w:proofErr w:type="spellStart"/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18"/>
              </w:rPr>
              <w:t>hǎi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, (8), pp. 77–78]. </w:t>
            </w:r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(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In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Chinese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)</w:t>
            </w:r>
          </w:p>
        </w:tc>
      </w:tr>
      <w:tr w:rsidR="008A7851" w:rsidRPr="006F37E2" w:rsidTr="008A7851">
        <w:trPr>
          <w:gridAfter w:val="1"/>
          <w:wAfter w:w="34" w:type="dxa"/>
          <w:trHeight w:val="2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B5F" w:rsidRPr="008A7851" w:rsidRDefault="008A7851" w:rsidP="008A78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lastRenderedPageBreak/>
              <w:t>Статья</w:t>
            </w:r>
            <w:r w:rsidR="00752B5F"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в </w:t>
            </w:r>
            <w:r w:rsidR="00752B5F" w:rsidRPr="008A785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электронном</w:t>
            </w:r>
            <w:r w:rsidR="00752B5F" w:rsidRPr="006F37E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журнале</w:t>
            </w:r>
          </w:p>
        </w:tc>
      </w:tr>
      <w:tr w:rsidR="00752B5F" w:rsidRPr="00F06411" w:rsidTr="00116831">
        <w:trPr>
          <w:gridAfter w:val="1"/>
          <w:wAfter w:w="34" w:type="dxa"/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5F" w:rsidRPr="00383839" w:rsidRDefault="00752B5F" w:rsidP="0038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Антонова А.А. Преобразование публичных пространств в современной городской культуре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// Человек и культура [Электронный журнал]. 2017. №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 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1. С. 1–7. </w:t>
            </w:r>
            <w:r w:rsid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URL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:</w:t>
            </w:r>
            <w:r w:rsidR="009265BF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http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://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e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-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notabene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.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ru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/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ca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/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article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_21820.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html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(дата обращения: 15.02.2017).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2B" w:rsidRPr="00F06411" w:rsidRDefault="00752B5F" w:rsidP="006F37E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</w:pP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Antonova</w:t>
            </w:r>
            <w:proofErr w:type="spellEnd"/>
            <w:r w:rsid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A.A.</w:t>
            </w:r>
            <w:r w:rsid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(2017)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‘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Transformation of public spaces in modern urban culture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’,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D3422B" w:rsidRPr="00D3422B">
              <w:rPr>
                <w:rFonts w:ascii="Times New Roman" w:hAnsi="Times New Roman"/>
                <w:i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Man and Culture </w:t>
            </w:r>
            <w:r w:rsid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[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Electronic</w:t>
            </w:r>
            <w:r w:rsid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]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(</w:t>
            </w:r>
            <w:r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1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)</w:t>
            </w:r>
            <w:r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, 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pp. </w:t>
            </w:r>
            <w:r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1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–</w:t>
            </w:r>
            <w:r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7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. A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vailable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from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: 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http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://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e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-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notabene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.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ru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/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ca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/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article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_21820.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html</w:t>
            </w:r>
            <w:r w:rsidR="009265BF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(</w:t>
            </w:r>
            <w:r w:rsidR="00F06411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Accessed</w:t>
            </w:r>
            <w:r w:rsidR="00F06411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D3422B" w:rsidRPr="00D3422B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February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F06411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15, </w:t>
            </w:r>
            <w:r w:rsidR="00D3422B" w:rsidRPr="00C87853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2017). </w:t>
            </w:r>
            <w:proofErr w:type="spellStart"/>
            <w:proofErr w:type="gramStart"/>
            <w:r w:rsidR="00D3422B" w:rsidRPr="0010054F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doi</w:t>
            </w:r>
            <w:proofErr w:type="spellEnd"/>
            <w:proofErr w:type="gramEnd"/>
            <w:r w:rsidR="00D3422B" w:rsidRPr="00C87853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: </w:t>
            </w:r>
            <w:r w:rsidR="00C87853" w:rsidRPr="00C87853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10.7256/2409-8744.2017.1.21820. </w:t>
            </w:r>
            <w:r w:rsidR="00D3422B" w:rsidRPr="00F06411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(</w:t>
            </w:r>
            <w:r w:rsidR="00D3422B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In</w:t>
            </w:r>
            <w:r w:rsidR="00D3422B" w:rsidRPr="00F06411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 w:rsidR="006F37E2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Russ.</w:t>
            </w:r>
            <w:r w:rsidR="00D3422B" w:rsidRPr="00F06411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</w:rPr>
              <w:t>)</w:t>
            </w:r>
          </w:p>
        </w:tc>
      </w:tr>
      <w:tr w:rsidR="008A7851" w:rsidRPr="006F37E2" w:rsidTr="008A7851">
        <w:trPr>
          <w:gridAfter w:val="1"/>
          <w:wAfter w:w="34" w:type="dxa"/>
          <w:trHeight w:val="18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1F" w:rsidRPr="008A7851" w:rsidRDefault="00D03A1F" w:rsidP="00D03A1F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>Статья в сборнике научных статей</w:t>
            </w:r>
          </w:p>
        </w:tc>
      </w:tr>
      <w:tr w:rsidR="00D03A1F" w:rsidRPr="00383839" w:rsidTr="00EA5576">
        <w:trPr>
          <w:gridAfter w:val="1"/>
          <w:wAfter w:w="34" w:type="dxa"/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F" w:rsidRPr="00383839" w:rsidRDefault="00D03A1F" w:rsidP="00E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Лазарева Е.А. Футуризм как традиция в итальянском и русском искусстве // Западное искусство. ХХ век. Тридцатые годы</w:t>
            </w:r>
            <w:proofErr w:type="gramStart"/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с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б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статей / </w:t>
            </w:r>
            <w:r w:rsidR="004D7521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о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тв. ред. А.В.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Бартошевич, Т.Ю. 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Гнедовская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. М.</w:t>
            </w:r>
            <w:proofErr w:type="gramStart"/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Государственный институт искусствознания, 2016. С.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18"/>
                <w:lang w:val="ru-RU"/>
              </w:rPr>
              <w:t>240–258.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C" w:rsidRPr="00D349FC" w:rsidRDefault="00D03A1F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</w:pP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Lazareva</w:t>
            </w:r>
            <w:proofErr w:type="spellEnd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E.A.</w:t>
            </w:r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(2016)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‘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Futurism as a tradition in Italian and Russian art</w:t>
            </w:r>
            <w:r w:rsid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’, i</w:t>
            </w:r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n:</w:t>
            </w:r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Bartoshevich</w:t>
            </w:r>
            <w:proofErr w:type="spellEnd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, A.V. and </w:t>
            </w:r>
            <w:proofErr w:type="spellStart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Gnedovskaya</w:t>
            </w:r>
            <w:proofErr w:type="spellEnd"/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,</w:t>
            </w:r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T.Yu</w:t>
            </w:r>
            <w:proofErr w:type="spellEnd"/>
            <w:r w:rsidR="00D349FC" w:rsidRP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.</w:t>
            </w:r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(eds.) </w:t>
            </w:r>
            <w:r w:rsidR="00D349FC" w:rsidRPr="00D349FC">
              <w:rPr>
                <w:rFonts w:ascii="Times New Roman" w:hAnsi="Times New Roman"/>
                <w:i/>
                <w:color w:val="404040" w:themeColor="text1" w:themeTint="BF"/>
                <w:sz w:val="20"/>
                <w:szCs w:val="18"/>
                <w:shd w:val="clear" w:color="auto" w:fill="FFFFFF"/>
              </w:rPr>
              <w:t>Western Art. 20th century. Thirties</w:t>
            </w:r>
            <w:r w:rsidR="00D349FC">
              <w:rPr>
                <w:rFonts w:ascii="Times New Roman" w:hAnsi="Times New Roman"/>
                <w:i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6F37E2" w:rsidRP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[C</w:t>
            </w:r>
            <w:r w:rsidR="00D349FC" w:rsidRP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ollection of articles</w:t>
            </w:r>
            <w:r w:rsidR="006F37E2" w:rsidRPr="006F37E2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]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, pp. 240</w:t>
            </w:r>
            <w:r w:rsidR="00640DA5" w:rsidRP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–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258.</w:t>
            </w:r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Moscow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:</w:t>
            </w:r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</w:t>
            </w:r>
            <w:r w:rsidR="00D349FC"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State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Institute of Art Studies Publ</w:t>
            </w:r>
            <w:r w:rsidR="00D349FC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.</w:t>
            </w:r>
            <w:r w:rsidR="00D349FC"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 xml:space="preserve"> (In Russ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.</w:t>
            </w:r>
            <w:r w:rsidR="00D349FC"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  <w:shd w:val="clear" w:color="auto" w:fill="FFFFFF"/>
              </w:rPr>
              <w:t>)</w:t>
            </w:r>
          </w:p>
        </w:tc>
      </w:tr>
      <w:tr w:rsidR="00383839" w:rsidRPr="00383839" w:rsidTr="008A7851">
        <w:trPr>
          <w:gridAfter w:val="1"/>
          <w:wAfter w:w="34" w:type="dxa"/>
          <w:trHeight w:val="28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1F" w:rsidRPr="00640DA5" w:rsidRDefault="008A7851" w:rsidP="008A7851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83839">
              <w:rPr>
                <w:rFonts w:ascii="Arial" w:hAnsi="Arial" w:cs="Arial"/>
                <w:b/>
                <w:color w:val="404040" w:themeColor="text1" w:themeTint="BF"/>
                <w:sz w:val="20"/>
                <w:lang w:val="ru-RU"/>
              </w:rPr>
              <w:t>Книга</w:t>
            </w:r>
            <w:r w:rsidRPr="00640DA5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 </w:t>
            </w:r>
            <w:r w:rsidRPr="00383839">
              <w:rPr>
                <w:rFonts w:ascii="Arial" w:hAnsi="Arial" w:cs="Arial"/>
                <w:b/>
                <w:color w:val="404040" w:themeColor="text1" w:themeTint="BF"/>
                <w:sz w:val="20"/>
                <w:lang w:val="ru-RU"/>
              </w:rPr>
              <w:t>с</w:t>
            </w:r>
            <w:r w:rsidRPr="00640DA5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 </w:t>
            </w:r>
            <w:r w:rsidRPr="00383839">
              <w:rPr>
                <w:rFonts w:ascii="Arial" w:hAnsi="Arial" w:cs="Arial"/>
                <w:b/>
                <w:color w:val="404040" w:themeColor="text1" w:themeTint="BF"/>
                <w:sz w:val="20"/>
                <w:lang w:val="ru-RU"/>
              </w:rPr>
              <w:t>одним</w:t>
            </w:r>
            <w:r w:rsidRPr="00640DA5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 </w:t>
            </w:r>
            <w:r w:rsidRPr="00383839">
              <w:rPr>
                <w:rFonts w:ascii="Arial" w:hAnsi="Arial" w:cs="Arial"/>
                <w:b/>
                <w:color w:val="404040" w:themeColor="text1" w:themeTint="BF"/>
                <w:sz w:val="20"/>
                <w:lang w:val="ru-RU"/>
              </w:rPr>
              <w:t>автором</w:t>
            </w:r>
          </w:p>
        </w:tc>
      </w:tr>
      <w:tr w:rsidR="00D03A1F" w:rsidRPr="00383839" w:rsidTr="00C455D5">
        <w:trPr>
          <w:gridAfter w:val="1"/>
          <w:wAfter w:w="34" w:type="dxa"/>
          <w:trHeight w:val="5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F" w:rsidRPr="00640DA5" w:rsidRDefault="00D03A1F" w:rsidP="00E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Козлова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С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.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И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Раннее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Возрождение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в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Венеции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/ </w:t>
            </w:r>
            <w:proofErr w:type="spellStart"/>
            <w:r w:rsidR="004D7521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р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ед</w:t>
            </w:r>
            <w:proofErr w:type="spellEnd"/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Е</w:t>
            </w:r>
            <w:r w:rsidR="00335023"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.</w:t>
            </w:r>
            <w:r w:rsidR="00335023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М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Галкина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М</w:t>
            </w:r>
            <w:r w:rsidR="00EA5576"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.</w:t>
            </w:r>
            <w:proofErr w:type="gramStart"/>
            <w:r w:rsidR="00EA5576"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:</w:t>
            </w:r>
            <w:proofErr w:type="gramEnd"/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Белый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город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 xml:space="preserve">, 2016. 196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  <w:lang w:val="ru-RU"/>
              </w:rPr>
              <w:t>с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18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F" w:rsidRPr="00383839" w:rsidRDefault="00D03A1F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</w:pP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Kozlova</w:t>
            </w:r>
            <w:proofErr w:type="spellEnd"/>
            <w:r w:rsidR="00C455D5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S.I.</w:t>
            </w:r>
            <w:r w:rsidR="00C455D5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(2016)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</w:t>
            </w:r>
            <w:r w:rsidRPr="00C455D5">
              <w:rPr>
                <w:rFonts w:ascii="Times New Roman" w:hAnsi="Times New Roman"/>
                <w:i/>
                <w:color w:val="404040" w:themeColor="text1" w:themeTint="BF"/>
                <w:sz w:val="20"/>
                <w:szCs w:val="18"/>
              </w:rPr>
              <w:t>Early Renaissance in Venice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. Moscow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: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Belyy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gorod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</w:t>
            </w:r>
            <w:r w:rsidR="00C455D5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Publ.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 xml:space="preserve"> 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(In Russ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.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</w:rPr>
              <w:t>)</w:t>
            </w:r>
          </w:p>
        </w:tc>
      </w:tr>
      <w:tr w:rsidR="008A7851" w:rsidRPr="006F37E2" w:rsidTr="008A7851">
        <w:trPr>
          <w:gridAfter w:val="1"/>
          <w:wAfter w:w="34" w:type="dxa"/>
          <w:trHeight w:val="2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1E2" w:rsidRPr="008A7851" w:rsidRDefault="004B11E2" w:rsidP="004D75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Книга с двумя </w:t>
            </w:r>
            <w:r w:rsidR="004D752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или </w:t>
            </w: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тремя авторами</w:t>
            </w:r>
          </w:p>
        </w:tc>
      </w:tr>
      <w:tr w:rsidR="004B11E2" w:rsidRPr="00383839" w:rsidTr="00116831">
        <w:trPr>
          <w:gridAfter w:val="1"/>
          <w:wAfter w:w="34" w:type="dxa"/>
          <w:trHeight w:val="8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E2" w:rsidRPr="00383839" w:rsidRDefault="004B11E2" w:rsidP="004D7521">
            <w:pPr>
              <w:tabs>
                <w:tab w:val="left" w:pos="2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</w:pP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Бунатян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Г.Г.</w:t>
            </w:r>
            <w:r w:rsidR="004D7521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D7521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Чарная</w:t>
            </w:r>
            <w:proofErr w:type="spellEnd"/>
            <w:r w:rsidR="004D7521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М.Г.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Прогулки по рекам и каналам Санкт-Петербурга</w:t>
            </w:r>
            <w:proofErr w:type="gramStart"/>
            <w:r w:rsidR="004D7521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путеводитель. СПб</w:t>
            </w:r>
            <w:proofErr w:type="gramStart"/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.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: </w:t>
            </w:r>
            <w:proofErr w:type="gramEnd"/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Паритет, 2007. 254 с.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E2" w:rsidRPr="00C455D5" w:rsidRDefault="00C455D5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Bunatyan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G.G.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and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Charnaya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M.G.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(2007)</w:t>
            </w:r>
            <w:r w:rsidRPr="00C455D5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 xml:space="preserve"> Walks along the rivers and canals of St. Petersburg</w:t>
            </w:r>
            <w:r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640DA5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[G</w:t>
            </w:r>
            <w:r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uide</w:t>
            </w:r>
            <w:r w:rsidR="00640DA5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 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Saint Petersburg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;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104C14"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Paritet</w:t>
            </w:r>
            <w:proofErr w:type="spellEnd"/>
            <w:r w:rsidR="00104C14" w:rsidRPr="00C455D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Publ. (In Russ.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8A7851" w:rsidRPr="006F37E2" w:rsidTr="008A7851">
        <w:trPr>
          <w:gridAfter w:val="1"/>
          <w:wAfter w:w="34" w:type="dxa"/>
          <w:trHeight w:val="17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1E2" w:rsidRPr="008A7851" w:rsidRDefault="004B11E2" w:rsidP="004D7521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Книга с четырьмя</w:t>
            </w:r>
            <w:r w:rsidR="004D752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и более авторами</w:t>
            </w:r>
          </w:p>
        </w:tc>
      </w:tr>
      <w:tr w:rsidR="00CF3E09" w:rsidRPr="00CF3E09" w:rsidTr="00116831">
        <w:trPr>
          <w:gridAfter w:val="1"/>
          <w:wAfter w:w="34" w:type="dxa"/>
          <w:trHeight w:val="70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E2" w:rsidRPr="00CF3E09" w:rsidRDefault="004B11E2" w:rsidP="004D752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</w:pP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Информационно-</w:t>
            </w:r>
            <w:r w:rsidR="004D7521"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библиографическая культура / В.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В</w:t>
            </w:r>
            <w:r w:rsidR="00FA1076"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="004D7521"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Брежнева</w:t>
            </w:r>
            <w:r w:rsidR="004D7521"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[и др.]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 СПб</w:t>
            </w:r>
            <w:proofErr w:type="gramStart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="00EA5576"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: </w:t>
            </w:r>
            <w:proofErr w:type="spellStart"/>
            <w:proofErr w:type="gramEnd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СПбГИК</w:t>
            </w:r>
            <w:proofErr w:type="spellEnd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, 2017. 203 с.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E2" w:rsidRPr="00CF3E09" w:rsidRDefault="00104C14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Brezhneva</w:t>
            </w:r>
            <w:proofErr w:type="spellEnd"/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., </w:t>
            </w:r>
            <w:proofErr w:type="spellStart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Zaharchuk</w:t>
            </w:r>
            <w:proofErr w:type="spellEnd"/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T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., </w:t>
            </w:r>
            <w:proofErr w:type="spellStart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Gruzova</w:t>
            </w:r>
            <w:proofErr w:type="spellEnd"/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and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Kij</w:t>
            </w:r>
            <w:proofErr w:type="spellEnd"/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M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 w:rsidRPr="00CF3E0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I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 (2017) </w:t>
            </w:r>
            <w:r w:rsidRPr="00104C14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Information-bibliographic culture</w:t>
            </w:r>
            <w:r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Saint Petersburg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:</w:t>
            </w:r>
            <w:r>
              <w:t xml:space="preserve"> </w:t>
            </w:r>
            <w:r w:rsidRPr="00104C1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Saint Petersburg State Institute of Culture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Publ. (In Russ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243E07" w:rsidRPr="008A7851" w:rsidTr="006060FC">
        <w:trPr>
          <w:gridAfter w:val="1"/>
          <w:wAfter w:w="34" w:type="dxa"/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E07" w:rsidRPr="008A7851" w:rsidRDefault="00243E07" w:rsidP="00606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Переводная книга</w:t>
            </w:r>
          </w:p>
        </w:tc>
      </w:tr>
      <w:tr w:rsidR="00243E07" w:rsidRPr="006F37E2" w:rsidTr="00116831">
        <w:trPr>
          <w:gridAfter w:val="1"/>
          <w:wAfter w:w="34" w:type="dxa"/>
          <w:trHeight w:val="70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07" w:rsidRPr="00CF3E09" w:rsidRDefault="00243E07" w:rsidP="00243E0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</w:pPr>
            <w:proofErr w:type="spell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Гаузэ</w:t>
            </w:r>
            <w:proofErr w:type="spellEnd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Ф. Кенигсбе</w:t>
            </w:r>
            <w:proofErr w:type="gram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рг в Пр</w:t>
            </w:r>
            <w:proofErr w:type="gramEnd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уссии. История одного европейского города / 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п</w:t>
            </w:r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ер. </w:t>
            </w:r>
            <w:proofErr w:type="gram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с</w:t>
            </w:r>
            <w:proofErr w:type="gramEnd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нем. В. </w:t>
            </w:r>
            <w:proofErr w:type="spell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Хердта</w:t>
            </w:r>
            <w:proofErr w:type="spellEnd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и Н. Конрад. </w:t>
            </w:r>
            <w:proofErr w:type="spell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Реклингхаузен</w:t>
            </w:r>
            <w:proofErr w:type="spellEnd"/>
            <w:proofErr w:type="gram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:</w:t>
            </w:r>
            <w:proofErr w:type="gramEnd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Биттер, 1994. 316 с.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14" w:rsidRPr="00104C14" w:rsidRDefault="00243E07" w:rsidP="001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</w:pPr>
            <w:proofErr w:type="spellStart"/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Gause</w:t>
            </w:r>
            <w:proofErr w:type="spellEnd"/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,</w:t>
            </w:r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F.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(1994)</w:t>
            </w:r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</w:t>
            </w:r>
            <w:r w:rsidRPr="00243E07">
              <w:rPr>
                <w:rFonts w:ascii="Times New Roman" w:hAnsi="Times New Roman"/>
                <w:i/>
                <w:color w:val="404040" w:themeColor="text1" w:themeTint="BF"/>
                <w:sz w:val="20"/>
                <w:szCs w:val="18"/>
                <w:lang w:val="de-DE"/>
              </w:rPr>
              <w:t>Königsberg in Preußen. Die Geschichte einer europäischen Stadt</w:t>
            </w:r>
            <w:r w:rsidRPr="00243E07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. Rautenberg, Leer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.</w:t>
            </w:r>
            <w:r w:rsidR="00104C14" w:rsidRPr="00104C14">
              <w:rPr>
                <w:lang w:val="de-DE"/>
              </w:rPr>
              <w:t xml:space="preserve"> 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Trans.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Herdt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, 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W. </w:t>
            </w:r>
            <w:proofErr w:type="spellStart"/>
            <w:r w:rsidR="00104C14" w:rsidRPr="001E1C16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a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nd</w:t>
            </w:r>
            <w:proofErr w:type="spellEnd"/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Konrad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, </w:t>
            </w:r>
            <w:r w:rsidR="00104C14" w:rsidRP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N.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Recklinghausen, Bitter</w:t>
            </w:r>
            <w:r w:rsidR="00104C14">
              <w:rPr>
                <w:rFonts w:ascii="Times New Roman" w:hAnsi="Times New Roman"/>
                <w:color w:val="404040" w:themeColor="text1" w:themeTint="BF"/>
                <w:sz w:val="20"/>
                <w:szCs w:val="18"/>
                <w:lang w:val="de-DE"/>
              </w:rPr>
              <w:t>.</w:t>
            </w:r>
          </w:p>
        </w:tc>
      </w:tr>
      <w:tr w:rsidR="008A7851" w:rsidRPr="00104C14" w:rsidTr="008A7851">
        <w:trPr>
          <w:gridAfter w:val="1"/>
          <w:wAfter w:w="34" w:type="dxa"/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1F" w:rsidRPr="00104C14" w:rsidRDefault="00D03A1F" w:rsidP="00F74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de-DE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Материалы</w:t>
            </w:r>
            <w:r w:rsidRPr="00104C14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de-DE"/>
              </w:rPr>
              <w:t xml:space="preserve"> </w:t>
            </w: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конференций</w:t>
            </w:r>
          </w:p>
        </w:tc>
      </w:tr>
      <w:tr w:rsidR="00D03A1F" w:rsidRPr="00383839" w:rsidTr="006060FC">
        <w:trPr>
          <w:gridAfter w:val="1"/>
          <w:wAfter w:w="34" w:type="dxa"/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6" w:rsidRPr="00383839" w:rsidRDefault="00D03A1F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Культурология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и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искусствоведение</w:t>
            </w:r>
            <w:proofErr w:type="gramStart"/>
            <w:r w:rsidR="00EA5576"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:</w:t>
            </w:r>
            <w:proofErr w:type="gramEnd"/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материалы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243E07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de-DE"/>
              </w:rPr>
              <w:t>IV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Междунар</w:t>
            </w:r>
            <w:proofErr w:type="spellEnd"/>
            <w:r w:rsidR="00EA5576"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науч</w:t>
            </w:r>
            <w:r w:rsidR="00EA5576"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конф</w:t>
            </w:r>
            <w:proofErr w:type="spellEnd"/>
            <w:r w:rsidR="00EA5576"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. 8–9 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апреля</w:t>
            </w:r>
            <w:r w:rsidR="00EA5576"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2017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/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под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ред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Г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А</w:t>
            </w:r>
            <w:r w:rsidRPr="001E1C1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Pr="00243E07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de-DE"/>
              </w:rPr>
              <w:t> 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Кайновой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, Е.И. </w:t>
            </w:r>
            <w:proofErr w:type="spellStart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Осяниной</w:t>
            </w:r>
            <w:proofErr w:type="spell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 Казань</w:t>
            </w:r>
            <w:proofErr w:type="gramStart"/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Молодой ученый, 2018. </w:t>
            </w:r>
            <w:r w:rsidR="00EA5576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315 с.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C" w:rsidRPr="00D349FC" w:rsidRDefault="006060FC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Kaynova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, G.A. and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Osyanina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, </w:t>
            </w:r>
            <w:r w:rsidRPr="006060FC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E.I.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(eds.) (2018)</w:t>
            </w:r>
            <w:r w:rsid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39AF" w:rsidRPr="008539AF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  <w:lang w:eastAsia="ru-RU"/>
              </w:rPr>
              <w:t>Culturology</w:t>
            </w:r>
            <w:proofErr w:type="spellEnd"/>
            <w:r w:rsidR="008539AF" w:rsidRPr="008539AF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  <w:lang w:eastAsia="ru-RU"/>
              </w:rPr>
              <w:t xml:space="preserve"> and Art History</w:t>
            </w:r>
            <w:r w:rsidR="008539AF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>[C</w:t>
            </w:r>
            <w:r w:rsidR="008539AF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>onference proceedings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>].</w:t>
            </w:r>
            <w:r w:rsid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="008539AF" w:rsidRP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Kazan, </w:t>
            </w:r>
            <w:proofErr w:type="spellStart"/>
            <w:r w:rsidR="008539AF" w:rsidRP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>Molodoy</w:t>
            </w:r>
            <w:proofErr w:type="spellEnd"/>
            <w:r w:rsidR="008539AF" w:rsidRP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39AF" w:rsidRP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>uchenyy</w:t>
            </w:r>
            <w:proofErr w:type="spellEnd"/>
            <w:r w:rsidR="008539AF" w:rsidRP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Publ</w:t>
            </w:r>
            <w:r w:rsidR="008539AF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  <w:r w:rsidR="008539AF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(</w:t>
            </w:r>
            <w:r w:rsidR="008539AF"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In</w:t>
            </w:r>
            <w:r w:rsidR="008539AF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</w:t>
            </w:r>
            <w:r w:rsidR="008539AF"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Russ</w:t>
            </w:r>
            <w:r w:rsid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.</w:t>
            </w:r>
            <w:r w:rsidR="008539AF" w:rsidRPr="00640DA5">
              <w:rPr>
                <w:rFonts w:ascii="Times New Roman" w:hAnsi="Times New Roman"/>
                <w:color w:val="404040" w:themeColor="text1" w:themeTint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A7851" w:rsidRPr="006F37E2" w:rsidTr="008A7851">
        <w:trPr>
          <w:trHeight w:val="671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A1F" w:rsidRPr="008A7851" w:rsidRDefault="000A55D2" w:rsidP="00F81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>Интернет-ресурсы</w:t>
            </w:r>
            <w:r w:rsidR="00DF443D" w:rsidRPr="008A7851"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 xml:space="preserve"> </w:t>
            </w:r>
          </w:p>
          <w:p w:rsidR="00F81F9D" w:rsidRPr="008A7851" w:rsidRDefault="00694A64" w:rsidP="00A75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>Н</w:t>
            </w:r>
            <w:r w:rsidR="00F81F9D" w:rsidRPr="008A7851">
              <w:rPr>
                <w:rFonts w:ascii="Arial" w:hAnsi="Arial" w:cs="Arial"/>
                <w:i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>ежелательно использовать материалы из энциклопедий и других популяризаторских источников, если они</w:t>
            </w:r>
            <w:r>
              <w:rPr>
                <w:rFonts w:ascii="Arial" w:hAnsi="Arial" w:cs="Arial"/>
                <w:i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 xml:space="preserve"> не являются объектом изучения</w:t>
            </w:r>
          </w:p>
        </w:tc>
      </w:tr>
      <w:tr w:rsidR="00DF443D" w:rsidRPr="00640DA5" w:rsidTr="00116831">
        <w:trPr>
          <w:trHeight w:val="1334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3D" w:rsidRPr="00383839" w:rsidRDefault="00DF443D" w:rsidP="0038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Город и люди. Москва в графике ХХ века // Третьяковская галерея [сайт].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URL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: https://www.tretyakovgallery.ru/exhibitions/gorod-i-lyudi-moskva-v-grafike-khkh-veka/ (дата обращения: 10.12.2019).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D0" w:rsidRPr="00640DA5" w:rsidRDefault="00640DA5" w:rsidP="0064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Anon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 (2001) ‘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City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and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people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.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Moscow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in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the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graphic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art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of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the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20</w:t>
            </w:r>
            <w:proofErr w:type="spellStart"/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th</w:t>
            </w:r>
            <w:proofErr w:type="spellEnd"/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century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’, </w:t>
            </w:r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in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24D0" w:rsidRPr="0038383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20"/>
              </w:rPr>
              <w:t>Tretyakov</w:t>
            </w:r>
            <w:proofErr w:type="spellEnd"/>
            <w:r w:rsidR="00C424D0" w:rsidRPr="00640DA5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383839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20"/>
              </w:rPr>
              <w:t>Gallery</w:t>
            </w:r>
            <w:r w:rsidR="00C424D0" w:rsidRPr="00640DA5">
              <w:rPr>
                <w:rFonts w:ascii="Times New Roman" w:hAnsi="Times New Roman"/>
                <w:bCs/>
                <w:i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[</w:t>
            </w:r>
            <w:r w:rsidR="00C424D0" w:rsidRP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Online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]</w:t>
            </w:r>
            <w:r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A</w:t>
            </w:r>
            <w:r w:rsidR="00C424D0" w:rsidRP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vailable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from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 xml:space="preserve">: 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https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://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www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.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tretyakovgallery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.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ru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/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exhibitions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/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gorod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i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lyudi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moskva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v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grafike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khkh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="00C424D0" w:rsidRPr="00383839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veka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/ (</w:t>
            </w:r>
            <w:r w:rsid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Accessed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December</w:t>
            </w:r>
            <w:r w:rsidR="00F06411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 xml:space="preserve"> 10,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 xml:space="preserve"> 2019). 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(</w:t>
            </w:r>
            <w:r w:rsid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In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="00C424D0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Russ</w:t>
            </w:r>
            <w:r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  <w:t>.</w:t>
            </w:r>
            <w:r w:rsidR="00C424D0" w:rsidRPr="00640DA5"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  <w:lang w:val="ru-RU"/>
              </w:rPr>
              <w:t>)</w:t>
            </w:r>
          </w:p>
        </w:tc>
      </w:tr>
      <w:tr w:rsidR="008A7851" w:rsidRPr="006F37E2" w:rsidTr="008A7851">
        <w:trPr>
          <w:trHeight w:val="198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5A" w:rsidRPr="008A7851" w:rsidRDefault="009A2C5A" w:rsidP="009A2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Диссертации и авторефераты</w:t>
            </w:r>
          </w:p>
          <w:p w:rsidR="009A2C5A" w:rsidRPr="008A7851" w:rsidRDefault="009A2C5A" w:rsidP="006D17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ru-RU"/>
              </w:rPr>
              <w:t xml:space="preserve">Ссылки на диссертации и авторефераты принимаются только в случае отсутствия статей данного автора на исследуемую тему в </w:t>
            </w:r>
            <w:r w:rsidR="006D171E" w:rsidRPr="008A785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ru-RU"/>
              </w:rPr>
              <w:t>периодических</w:t>
            </w:r>
            <w:r w:rsidRPr="008A785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ru-RU"/>
              </w:rPr>
              <w:t xml:space="preserve"> изданиях</w:t>
            </w:r>
          </w:p>
        </w:tc>
      </w:tr>
      <w:tr w:rsidR="00B06217" w:rsidRPr="00383839" w:rsidTr="008F66E2">
        <w:trPr>
          <w:trHeight w:val="858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64" w:rsidRPr="008F66E2" w:rsidRDefault="00B06217" w:rsidP="008F66E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</w:pP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Кудряшов Н.Н. 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Живописная система позднего творчества Диего Родригеса де Сильва-и-Веласкеса</w:t>
            </w:r>
            <w:proofErr w:type="gramStart"/>
            <w:r w:rsidR="004A27D6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дис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 … канд. искусствоведения. М</w:t>
            </w:r>
            <w:r w:rsidR="00EA5576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, 2015. 217 с.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17" w:rsidRPr="00694A64" w:rsidRDefault="00B06217" w:rsidP="00AE791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pacing w:val="3"/>
                <w:kern w:val="24"/>
                <w:sz w:val="20"/>
                <w:szCs w:val="20"/>
              </w:rPr>
            </w:pPr>
            <w:proofErr w:type="spellStart"/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Kudryashov</w:t>
            </w:r>
            <w:proofErr w:type="spellEnd"/>
            <w:r w:rsidR="00694A64"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N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N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694A64"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 (2015)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94A64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The picturesque system of late creativity of Diego Rodriguez de Silva y Velázquez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Cand</w:t>
            </w:r>
            <w:proofErr w:type="spellEnd"/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Art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sci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="000E7C25" w:rsidRPr="000E7C25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thesis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694A64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Moscow</w:t>
            </w:r>
            <w:r w:rsidRPr="00694A64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24634B" w:rsidRPr="00383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6E2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(In Russ</w:t>
            </w:r>
            <w:r w:rsidR="00AE791E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</w:tr>
      <w:tr w:rsidR="00B06217" w:rsidRPr="00383839" w:rsidTr="008F66E2">
        <w:trPr>
          <w:trHeight w:val="98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17" w:rsidRPr="00383839" w:rsidRDefault="00B06217" w:rsidP="0038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</w:pP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  <w:lang w:val="ru-RU"/>
              </w:rPr>
              <w:t>е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горычев </w:t>
            </w: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  <w:lang w:val="ru-RU"/>
              </w:rPr>
              <w:t>в.в. т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ворчество </w:t>
            </w: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  <w:lang w:val="ru-RU"/>
              </w:rPr>
              <w:t>к.ф.</w:t>
            </w: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</w:rPr>
              <w:t> </w:t>
            </w:r>
            <w:proofErr w:type="spellStart"/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  <w:lang w:val="ru-RU"/>
              </w:rPr>
              <w:t>б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огаевского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(1872–1943) и русская пейзажная живопись </w:t>
            </w: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</w:rPr>
              <w:t>xix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– первых десятилетий </w:t>
            </w:r>
            <w:r w:rsidRPr="00383839">
              <w:rPr>
                <w:rFonts w:ascii="Times New Roman" w:hAnsi="Times New Roman"/>
                <w:caps/>
                <w:color w:val="404040" w:themeColor="text1" w:themeTint="BF"/>
                <w:sz w:val="20"/>
                <w:szCs w:val="20"/>
              </w:rPr>
              <w:t>xx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века</w:t>
            </w:r>
            <w:proofErr w:type="gramStart"/>
            <w:r w:rsidR="004A27D6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:</w:t>
            </w:r>
            <w:proofErr w:type="gram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автореф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дис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val="ru-RU"/>
              </w:rPr>
              <w:t>. ...канд. искусствоведения. М., 1981. 24 с.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11" w:rsidRPr="00AE791E" w:rsidRDefault="00B06217" w:rsidP="008F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Egorychev</w:t>
            </w:r>
            <w:proofErr w:type="spellEnd"/>
            <w:r w:rsidR="008F66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,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V.V.</w:t>
            </w:r>
            <w:r w:rsidR="008F66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(1981)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8F66E2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 xml:space="preserve">Work of K.F. </w:t>
            </w:r>
            <w:proofErr w:type="spellStart"/>
            <w:r w:rsidRPr="008F66E2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Bogaevsky</w:t>
            </w:r>
            <w:proofErr w:type="spellEnd"/>
            <w:r w:rsidRPr="008F66E2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 xml:space="preserve"> (1872–1943) and Russian Landscape Painting of the 19th – the First Decades of the 20th Century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.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Cand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. Art sci. </w:t>
            </w:r>
            <w:r w:rsidR="000E7C25" w:rsidRPr="000E7C25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thesis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Abstr</w:t>
            </w:r>
            <w:proofErr w:type="spellEnd"/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Moscow.</w:t>
            </w:r>
            <w:r w:rsidR="0024634B" w:rsidRPr="00383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34B" w:rsidRPr="0038383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(In Russ</w:t>
            </w:r>
            <w:r w:rsidR="00AE791E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  <w:r w:rsidR="008F66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8A7851" w:rsidRPr="008A7851" w:rsidTr="008A7851">
        <w:trPr>
          <w:trHeight w:val="254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217" w:rsidRPr="004A27D6" w:rsidRDefault="00B06217" w:rsidP="004A2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r w:rsidRPr="008A7851">
              <w:rPr>
                <w:rFonts w:ascii="Arial" w:hAnsi="Arial" w:cs="Arial"/>
                <w:b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  <w:t>Архивные документы</w:t>
            </w:r>
          </w:p>
        </w:tc>
      </w:tr>
      <w:tr w:rsidR="00B06217" w:rsidRPr="00383839" w:rsidTr="00116831">
        <w:trPr>
          <w:trHeight w:val="628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17" w:rsidRPr="00383839" w:rsidRDefault="00B06217" w:rsidP="004A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lastRenderedPageBreak/>
              <w:t>АРАН</w:t>
            </w:r>
            <w:r w:rsidR="004A27D6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(Архив Российской академии наук)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. Ф. 1574. Оп. 4. Д. 90. Л. 2</w:t>
            </w:r>
            <w:r w:rsidR="004A27D6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об.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17" w:rsidRPr="00383839" w:rsidRDefault="00B06217" w:rsidP="00AE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pacing w:val="3"/>
                <w:kern w:val="24"/>
                <w:sz w:val="20"/>
                <w:szCs w:val="20"/>
              </w:rPr>
            </w:pPr>
            <w:r w:rsidRPr="00383839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Archive of the Russian Academy of Sciences, coll. 1574, aids 4, fol. 90, p. 2 back.</w:t>
            </w:r>
            <w:r w:rsidR="0024634B" w:rsidRPr="00383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F97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(In Russ</w:t>
            </w:r>
            <w:r w:rsidR="00AE791E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.</w:t>
            </w:r>
            <w:r w:rsidR="00D74F97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)</w:t>
            </w:r>
          </w:p>
        </w:tc>
      </w:tr>
      <w:tr w:rsidR="008A7851" w:rsidRPr="00383839" w:rsidTr="00116831">
        <w:trPr>
          <w:trHeight w:val="628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97" w:rsidRPr="00D74F97" w:rsidRDefault="008A7851" w:rsidP="00977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</w:pP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О разделении команды на три части лошадей, экипажей и прочего, также и о пожаловании чинами, 1763 // Российский государственный архив древних актов</w:t>
            </w:r>
            <w:r w:rsidR="00977E5C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 xml:space="preserve"> (РГАДА)</w:t>
            </w:r>
            <w:r w:rsidRPr="00383839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  <w:lang w:val="ru-RU"/>
              </w:rPr>
              <w:t>. Ф. 1239. Оп. 3. Ч. 112. Д. 60225.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5C" w:rsidRPr="00AE791E" w:rsidRDefault="00AE791E" w:rsidP="00AE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Anon. (no date) ‘</w:t>
            </w:r>
            <w:r w:rsidR="00977E5C" w:rsidRPr="00977E5C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On the division of the team into three parts of horses, carriages and other things, as well as on awarding ranks, 1763</w:t>
            </w:r>
            <w:r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’ in</w:t>
            </w:r>
            <w:r w:rsidR="00977E5C" w:rsidRPr="00977E5C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 xml:space="preserve"> </w:t>
            </w:r>
            <w:r w:rsidR="00977E5C" w:rsidRPr="00977E5C">
              <w:rPr>
                <w:rFonts w:ascii="Times New Roman" w:hAnsi="Times New Roman"/>
                <w:i/>
                <w:color w:val="404040" w:themeColor="text1" w:themeTint="BF"/>
                <w:spacing w:val="3"/>
                <w:kern w:val="24"/>
                <w:sz w:val="20"/>
                <w:szCs w:val="20"/>
              </w:rPr>
              <w:t>Russian State Archive of Ancient Acts,</w:t>
            </w:r>
            <w:r w:rsidR="00977E5C" w:rsidRPr="00977E5C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 xml:space="preserve"> </w:t>
            </w:r>
            <w:r w:rsidR="00977E5C" w:rsidRPr="00383839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coll. 1239, aids 3, part 112, fol. 60225</w:t>
            </w:r>
            <w:r w:rsidR="00977E5C" w:rsidRPr="00977E5C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.</w:t>
            </w:r>
            <w:r w:rsidR="00977E5C" w:rsidRPr="00067C1E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(In Russ.</w:t>
            </w:r>
            <w:r w:rsidR="00977E5C" w:rsidRPr="00383839">
              <w:rPr>
                <w:rFonts w:ascii="Times New Roman" w:hAnsi="Times New Roman"/>
                <w:color w:val="404040" w:themeColor="text1" w:themeTint="BF"/>
                <w:spacing w:val="3"/>
                <w:kern w:val="24"/>
                <w:sz w:val="20"/>
                <w:szCs w:val="20"/>
              </w:rPr>
              <w:t>).</w:t>
            </w:r>
          </w:p>
        </w:tc>
      </w:tr>
    </w:tbl>
    <w:p w:rsidR="00130D80" w:rsidRDefault="00130D80" w:rsidP="00977E5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812D2F" w:rsidRPr="00A36122" w:rsidRDefault="00116831" w:rsidP="00977E5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</w:pP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Источники</w:t>
      </w:r>
      <w:r w:rsidRPr="00AE791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на</w:t>
      </w:r>
      <w:r w:rsidRPr="00AE791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английском</w:t>
      </w:r>
      <w:r w:rsidRPr="00AE791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и</w:t>
      </w:r>
      <w:r w:rsidRPr="00AE791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других</w:t>
      </w:r>
      <w:r w:rsidRPr="00AE791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A36122"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ru-RU"/>
        </w:rPr>
        <w:t>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43E07" w:rsidRPr="00243E07" w:rsidTr="00243E07">
        <w:trPr>
          <w:trHeight w:val="236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DE4" w:rsidRPr="00977E5C" w:rsidRDefault="009D6CB8" w:rsidP="00695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</w:pPr>
            <w:r w:rsidRPr="00243E07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Статья</w:t>
            </w:r>
            <w:r w:rsidRPr="00977E5C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Pr="00243E07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в</w:t>
            </w:r>
            <w:r w:rsidRPr="00977E5C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Pr="00243E07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журнале</w:t>
            </w:r>
          </w:p>
        </w:tc>
      </w:tr>
      <w:tr w:rsidR="009D6CB8" w:rsidRPr="00830888" w:rsidTr="00227FC7">
        <w:trPr>
          <w:trHeight w:val="384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8" w:rsidRPr="00830888" w:rsidRDefault="00227FC7" w:rsidP="00AE79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Abend</w:t>
            </w:r>
            <w:proofErr w:type="spellEnd"/>
            <w:r w:rsidR="00977E5C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,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G.</w:t>
            </w:r>
            <w:r w:rsidR="00977E5C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(2008)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‘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Two main problems in the sociology of morality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’,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830888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Theory and Society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37(2), </w:t>
            </w:r>
            <w:r w:rsidR="00977E5C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87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–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125.</w:t>
            </w:r>
          </w:p>
        </w:tc>
      </w:tr>
      <w:tr w:rsidR="00977E5C" w:rsidRPr="00243E07" w:rsidTr="00295AF1">
        <w:trPr>
          <w:trHeight w:val="236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7E5C" w:rsidRPr="00977E5C" w:rsidRDefault="00977E5C" w:rsidP="00977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</w:pPr>
            <w:r w:rsidRPr="00243E07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Статья</w:t>
            </w:r>
            <w:r w:rsidRPr="00977E5C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 w:rsidRPr="00243E07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в</w:t>
            </w:r>
            <w:r w:rsidRPr="00977E5C"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pacing w:val="3"/>
                <w:sz w:val="18"/>
                <w:szCs w:val="18"/>
                <w:lang w:val="ru-RU"/>
              </w:rPr>
              <w:t>сборнике</w:t>
            </w:r>
          </w:p>
        </w:tc>
      </w:tr>
      <w:tr w:rsidR="00977E5C" w:rsidRPr="00830888" w:rsidTr="00227FC7">
        <w:trPr>
          <w:trHeight w:val="384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5C" w:rsidRPr="00830888" w:rsidRDefault="00977E5C" w:rsidP="00AE79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Cormack, R. (1977) 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‘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The arts during the age of iconoclasm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’, i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n </w:t>
            </w:r>
            <w:proofErr w:type="spellStart"/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Bryer</w:t>
            </w:r>
            <w:proofErr w:type="spellEnd"/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, A. and J. Herrin, J. (eds.) </w:t>
            </w:r>
            <w:r w:rsidRPr="00830888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Iconoclasm. Papers given at the Ninth Spring Symposium of Byzantine Studies, University of Birmingham, March 1975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 Birmingham</w:t>
            </w:r>
            <w:r w:rsidR="00AE791E"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:</w:t>
            </w:r>
            <w:r w:rsidRPr="0083088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Center for Byzantine Studies University of Birmingham.</w:t>
            </w:r>
          </w:p>
        </w:tc>
      </w:tr>
      <w:tr w:rsidR="00243E07" w:rsidRPr="00243E07" w:rsidTr="00243E07">
        <w:trPr>
          <w:trHeight w:val="324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C7" w:rsidRPr="00977E5C" w:rsidRDefault="00227FC7" w:rsidP="00227F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243E0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Книга</w:t>
            </w:r>
          </w:p>
        </w:tc>
      </w:tr>
      <w:tr w:rsidR="00227FC7" w:rsidRPr="00830888" w:rsidTr="00227FC7">
        <w:trPr>
          <w:trHeight w:val="238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5C" w:rsidRPr="00830888" w:rsidRDefault="00977E5C" w:rsidP="00AE79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</w:pPr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Greco, A. (1980) </w:t>
            </w:r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20"/>
              </w:rPr>
              <w:t xml:space="preserve">La Cappella di </w:t>
            </w:r>
            <w:proofErr w:type="spellStart"/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20"/>
              </w:rPr>
              <w:t>Niccolò</w:t>
            </w:r>
            <w:proofErr w:type="spellEnd"/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20"/>
              </w:rPr>
              <w:t xml:space="preserve"> V del </w:t>
            </w:r>
            <w:proofErr w:type="spellStart"/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20"/>
              </w:rPr>
              <w:t>Beato</w:t>
            </w:r>
            <w:proofErr w:type="spellEnd"/>
            <w:r w:rsidRPr="00830888">
              <w:rPr>
                <w:rFonts w:ascii="Times New Roman" w:hAnsi="Times New Roman"/>
                <w:bCs/>
                <w:i/>
                <w:color w:val="404040" w:themeColor="text1" w:themeTint="BF"/>
                <w:spacing w:val="3"/>
                <w:sz w:val="20"/>
                <w:szCs w:val="20"/>
              </w:rPr>
              <w:t xml:space="preserve"> Angelico</w:t>
            </w:r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. Roma</w:t>
            </w:r>
            <w:r w:rsidR="00AE791E"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:</w:t>
            </w:r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Istituto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Poligrafico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 e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Zecca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dello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Stato</w:t>
            </w:r>
            <w:proofErr w:type="spellEnd"/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. (I</w:t>
            </w:r>
            <w:r w:rsidR="00AE791E"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n Ital.</w:t>
            </w:r>
            <w:r w:rsidRPr="00830888">
              <w:rPr>
                <w:rFonts w:ascii="Times New Roman" w:hAnsi="Times New Roman"/>
                <w:bCs/>
                <w:color w:val="404040" w:themeColor="text1" w:themeTint="BF"/>
                <w:spacing w:val="3"/>
                <w:sz w:val="20"/>
                <w:szCs w:val="20"/>
              </w:rPr>
              <w:t>)</w:t>
            </w:r>
          </w:p>
        </w:tc>
      </w:tr>
    </w:tbl>
    <w:p w:rsidR="00B84946" w:rsidRDefault="00B84946">
      <w:pPr>
        <w:spacing w:after="0" w:line="240" w:lineRule="auto"/>
        <w:rPr>
          <w:rFonts w:ascii="Arial" w:hAnsi="Arial" w:cs="Arial"/>
          <w:b/>
          <w:color w:val="C00000"/>
          <w:sz w:val="18"/>
        </w:rPr>
      </w:pPr>
    </w:p>
    <w:p w:rsidR="007857C1" w:rsidRPr="00A36122" w:rsidRDefault="007857C1" w:rsidP="00977E5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</w:pPr>
      <w:r w:rsidRPr="00A36122">
        <w:rPr>
          <w:rFonts w:ascii="Arial" w:hAnsi="Arial" w:cs="Arial"/>
          <w:b/>
          <w:color w:val="404040" w:themeColor="text1" w:themeTint="BF"/>
          <w:sz w:val="20"/>
          <w:lang w:val="ru-RU"/>
        </w:rPr>
        <w:t>Написание общепринятых сокращений слов на</w:t>
      </w:r>
      <w:r w:rsidR="000D3DAF" w:rsidRPr="00A36122">
        <w:rPr>
          <w:rFonts w:ascii="Arial" w:hAnsi="Arial" w:cs="Arial"/>
          <w:b/>
          <w:color w:val="404040" w:themeColor="text1" w:themeTint="BF"/>
          <w:sz w:val="20"/>
          <w:lang w:val="ru-RU"/>
        </w:rPr>
        <w:t xml:space="preserve"> русском и английском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Вып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ssue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Cтатья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Ст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rticle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Том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ol.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0D3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o.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Серия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Сер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er.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Часть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art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Гл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h.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(в книгах) или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pp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(в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журналах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и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сборниках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gram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и</w:t>
            </w:r>
            <w:proofErr w:type="gram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др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еt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al.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Без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года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No date =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n.d.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3C2341" w:rsidP="003C2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Без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издательства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=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</w:t>
            </w:r>
            <w:r w:rsidR="003C234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3C234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7857C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="003C2341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(sine nomine)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Спец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выпуск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раздел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C1" w:rsidRPr="006B2C6D" w:rsidRDefault="007857C1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special issue (section)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Фонд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= 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coll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–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collection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(в описании архивных документов)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Опись</w:t>
            </w:r>
            <w:proofErr w:type="gram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= О</w:t>
            </w:r>
            <w:proofErr w:type="gram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aids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aids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(в описании архивных документов)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Дело = 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fol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folder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(в описании архивных документов)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Лист = 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p. (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pp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.) (в описании архивных документов)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Оборот (</w:t>
            </w:r>
            <w:proofErr w:type="gram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об</w:t>
            </w:r>
            <w:proofErr w:type="gram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back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– оборот (в описании архивных документов)</w:t>
            </w:r>
          </w:p>
        </w:tc>
      </w:tr>
      <w:tr w:rsidR="001A3361" w:rsidRPr="006F37E2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ед.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хр.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Item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(в описании музейных документов)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Собрание сочинений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Collected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Works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Полное собрание сочинений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Complete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Works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Избранное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D3DAF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Selected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Works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92650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тезисы докладов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Abstracts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of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Papers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92650" w:rsidP="000926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материалы (труды)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AF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Proceedings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of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the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Conference</w:t>
            </w:r>
            <w:proofErr w:type="spellEnd"/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0926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материалы 3-й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междунар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 конференции (симпозиума, съезда, семинара)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Proceedings of the 3rd International Conference (Symposium, 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С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ongress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Seminar)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0926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материалы II Всероссийской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Proceedings of the 2nd All-Russian Conference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0926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материалы V Всероссийской научно-практической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Proceedings of the 5th All-Russian Scientific and Practical Conference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дис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… канд. 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аук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(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напр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, искусствоведения)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DE684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Cand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Art</w:t>
            </w:r>
            <w:r w:rsidR="00092650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sci. </w:t>
            </w:r>
            <w:r w:rsidR="000E7C25" w:rsidRPr="000E7C2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thesis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06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дис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 … д-ра нау</w:t>
            </w:r>
            <w:proofErr w:type="gram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к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(</w:t>
            </w:r>
            <w:proofErr w:type="gramEnd"/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напр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, искусствоведения)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0E7C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Dr. Art sci. </w:t>
            </w:r>
            <w:r w:rsidR="000E7C25" w:rsidRPr="000E7C2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thesis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автореф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дис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 … канд. наук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(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напр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, искусствоведения)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Cand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Art sci. </w:t>
            </w:r>
            <w:r w:rsidR="000E7C25" w:rsidRPr="000E7C2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thesis</w:t>
            </w: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Abstr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1A3361" w:rsidRPr="006B2C6D" w:rsidTr="006B2C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09265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pacing w:val="3"/>
                <w:kern w:val="24"/>
                <w:sz w:val="18"/>
                <w:szCs w:val="18"/>
                <w:lang w:val="ru-RU"/>
              </w:rPr>
            </w:pP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автореф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дис</w:t>
            </w:r>
            <w:proofErr w:type="spellEnd"/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 … д-ра наук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(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напр</w:t>
            </w:r>
            <w:r w:rsidR="006B2C6D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="006B2C6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, искусствоведения)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50" w:rsidRPr="006B2C6D" w:rsidRDefault="00DE6840" w:rsidP="006B2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Dr. Art</w:t>
            </w:r>
            <w:r w:rsidR="00092650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sci. </w:t>
            </w:r>
            <w:r w:rsidR="000E7C25" w:rsidRPr="000E7C2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thesis</w:t>
            </w:r>
            <w:r w:rsidR="00092650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proofErr w:type="spellStart"/>
            <w:r w:rsidR="00092650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Abstr</w:t>
            </w:r>
            <w:proofErr w:type="spellEnd"/>
            <w:r w:rsidR="00092650" w:rsidRPr="006B2C6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</w:tbl>
    <w:p w:rsidR="00A40A71" w:rsidRPr="00067C1E" w:rsidRDefault="00A40A71" w:rsidP="00F13D52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sectPr w:rsidR="00A40A71" w:rsidRPr="00067C1E" w:rsidSect="007857C1">
      <w:footerReference w:type="even" r:id="rId12"/>
      <w:footerReference w:type="default" r:id="rId13"/>
      <w:pgSz w:w="11907" w:h="16840" w:code="9"/>
      <w:pgMar w:top="1134" w:right="1134" w:bottom="1134" w:left="1134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81" w:rsidRDefault="00134081" w:rsidP="00C23501">
      <w:pPr>
        <w:spacing w:after="0" w:line="240" w:lineRule="auto"/>
      </w:pPr>
      <w:r>
        <w:separator/>
      </w:r>
    </w:p>
  </w:endnote>
  <w:endnote w:type="continuationSeparator" w:id="0">
    <w:p w:rsidR="00134081" w:rsidRDefault="00134081" w:rsidP="00C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C" w:rsidRDefault="006060FC" w:rsidP="006060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C" w:rsidRDefault="006060FC" w:rsidP="006060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81" w:rsidRDefault="00134081" w:rsidP="00C23501">
      <w:pPr>
        <w:spacing w:after="0" w:line="240" w:lineRule="auto"/>
      </w:pPr>
      <w:r>
        <w:separator/>
      </w:r>
    </w:p>
  </w:footnote>
  <w:footnote w:type="continuationSeparator" w:id="0">
    <w:p w:rsidR="00134081" w:rsidRDefault="00134081" w:rsidP="00C2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08"/>
    <w:multiLevelType w:val="hybridMultilevel"/>
    <w:tmpl w:val="98848EF6"/>
    <w:lvl w:ilvl="0" w:tplc="B4BC27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924230"/>
    <w:multiLevelType w:val="hybridMultilevel"/>
    <w:tmpl w:val="D2D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951"/>
    <w:multiLevelType w:val="multilevel"/>
    <w:tmpl w:val="6F0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05820"/>
    <w:multiLevelType w:val="multilevel"/>
    <w:tmpl w:val="014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345D5"/>
    <w:multiLevelType w:val="multilevel"/>
    <w:tmpl w:val="93A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9241D"/>
    <w:multiLevelType w:val="multilevel"/>
    <w:tmpl w:val="652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68A"/>
    <w:multiLevelType w:val="multilevel"/>
    <w:tmpl w:val="FE7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C1"/>
    <w:rsid w:val="00012DA9"/>
    <w:rsid w:val="00015174"/>
    <w:rsid w:val="000346F8"/>
    <w:rsid w:val="000449E0"/>
    <w:rsid w:val="00045E3C"/>
    <w:rsid w:val="0005073F"/>
    <w:rsid w:val="00055395"/>
    <w:rsid w:val="00064DD7"/>
    <w:rsid w:val="00067C1E"/>
    <w:rsid w:val="0008470E"/>
    <w:rsid w:val="00092650"/>
    <w:rsid w:val="000A55D2"/>
    <w:rsid w:val="000A59CC"/>
    <w:rsid w:val="000B4891"/>
    <w:rsid w:val="000C7D1C"/>
    <w:rsid w:val="000D3DAF"/>
    <w:rsid w:val="000E7C25"/>
    <w:rsid w:val="0010054F"/>
    <w:rsid w:val="00104C14"/>
    <w:rsid w:val="00116831"/>
    <w:rsid w:val="00122904"/>
    <w:rsid w:val="001275B7"/>
    <w:rsid w:val="00130D80"/>
    <w:rsid w:val="00134081"/>
    <w:rsid w:val="00165C5D"/>
    <w:rsid w:val="0016713D"/>
    <w:rsid w:val="00195528"/>
    <w:rsid w:val="001A3361"/>
    <w:rsid w:val="001B316B"/>
    <w:rsid w:val="001B6F17"/>
    <w:rsid w:val="001E1C16"/>
    <w:rsid w:val="002021AB"/>
    <w:rsid w:val="00215E0D"/>
    <w:rsid w:val="00226B6F"/>
    <w:rsid w:val="00227F57"/>
    <w:rsid w:val="00227FC7"/>
    <w:rsid w:val="002412DA"/>
    <w:rsid w:val="00243E07"/>
    <w:rsid w:val="0024634B"/>
    <w:rsid w:val="00246DF9"/>
    <w:rsid w:val="002643D2"/>
    <w:rsid w:val="00282F84"/>
    <w:rsid w:val="00283283"/>
    <w:rsid w:val="0028530B"/>
    <w:rsid w:val="002A3694"/>
    <w:rsid w:val="002D0392"/>
    <w:rsid w:val="003157D8"/>
    <w:rsid w:val="00321691"/>
    <w:rsid w:val="00335023"/>
    <w:rsid w:val="003710F3"/>
    <w:rsid w:val="003731F0"/>
    <w:rsid w:val="00383839"/>
    <w:rsid w:val="003A7439"/>
    <w:rsid w:val="003C2341"/>
    <w:rsid w:val="003D2943"/>
    <w:rsid w:val="003D6287"/>
    <w:rsid w:val="00410859"/>
    <w:rsid w:val="004200D7"/>
    <w:rsid w:val="00425668"/>
    <w:rsid w:val="00487D1B"/>
    <w:rsid w:val="004A27D6"/>
    <w:rsid w:val="004B074C"/>
    <w:rsid w:val="004B11E2"/>
    <w:rsid w:val="004B218E"/>
    <w:rsid w:val="004D7521"/>
    <w:rsid w:val="0054120C"/>
    <w:rsid w:val="0056114E"/>
    <w:rsid w:val="005A23B2"/>
    <w:rsid w:val="005B2F7E"/>
    <w:rsid w:val="005D30C2"/>
    <w:rsid w:val="005E18A5"/>
    <w:rsid w:val="006060FC"/>
    <w:rsid w:val="006225B1"/>
    <w:rsid w:val="00624B25"/>
    <w:rsid w:val="00630CFA"/>
    <w:rsid w:val="00640DA5"/>
    <w:rsid w:val="006421ED"/>
    <w:rsid w:val="00690349"/>
    <w:rsid w:val="00694A64"/>
    <w:rsid w:val="00695DE4"/>
    <w:rsid w:val="006A11CB"/>
    <w:rsid w:val="006B2C6D"/>
    <w:rsid w:val="006B7462"/>
    <w:rsid w:val="006D171E"/>
    <w:rsid w:val="006F37E2"/>
    <w:rsid w:val="006F6C49"/>
    <w:rsid w:val="00700AAD"/>
    <w:rsid w:val="00702BAF"/>
    <w:rsid w:val="00707A81"/>
    <w:rsid w:val="00726188"/>
    <w:rsid w:val="00726565"/>
    <w:rsid w:val="00752B5F"/>
    <w:rsid w:val="00776C7C"/>
    <w:rsid w:val="007857C1"/>
    <w:rsid w:val="007E6C56"/>
    <w:rsid w:val="007F26BD"/>
    <w:rsid w:val="0080615F"/>
    <w:rsid w:val="00812D2F"/>
    <w:rsid w:val="00830888"/>
    <w:rsid w:val="00837107"/>
    <w:rsid w:val="008539AF"/>
    <w:rsid w:val="008A7851"/>
    <w:rsid w:val="008C334F"/>
    <w:rsid w:val="008C627C"/>
    <w:rsid w:val="008E7C55"/>
    <w:rsid w:val="008F66E2"/>
    <w:rsid w:val="00901DE3"/>
    <w:rsid w:val="009132C2"/>
    <w:rsid w:val="00921AD1"/>
    <w:rsid w:val="009232D0"/>
    <w:rsid w:val="009265BF"/>
    <w:rsid w:val="00932B36"/>
    <w:rsid w:val="009760EE"/>
    <w:rsid w:val="00977E5C"/>
    <w:rsid w:val="0099343D"/>
    <w:rsid w:val="009A2C5A"/>
    <w:rsid w:val="009A3E1C"/>
    <w:rsid w:val="009B0732"/>
    <w:rsid w:val="009B72B4"/>
    <w:rsid w:val="009D6CB8"/>
    <w:rsid w:val="00A36122"/>
    <w:rsid w:val="00A40A71"/>
    <w:rsid w:val="00A42458"/>
    <w:rsid w:val="00A4465E"/>
    <w:rsid w:val="00A724BB"/>
    <w:rsid w:val="00A75362"/>
    <w:rsid w:val="00AA5A19"/>
    <w:rsid w:val="00AC1C94"/>
    <w:rsid w:val="00AC5E20"/>
    <w:rsid w:val="00AE791E"/>
    <w:rsid w:val="00AF17AB"/>
    <w:rsid w:val="00B06217"/>
    <w:rsid w:val="00B23C7F"/>
    <w:rsid w:val="00B4606C"/>
    <w:rsid w:val="00B65BAE"/>
    <w:rsid w:val="00B822CA"/>
    <w:rsid w:val="00B84946"/>
    <w:rsid w:val="00B90266"/>
    <w:rsid w:val="00BA2BB4"/>
    <w:rsid w:val="00BA6607"/>
    <w:rsid w:val="00BB2B38"/>
    <w:rsid w:val="00BE362D"/>
    <w:rsid w:val="00C23501"/>
    <w:rsid w:val="00C424D0"/>
    <w:rsid w:val="00C455D5"/>
    <w:rsid w:val="00C5389C"/>
    <w:rsid w:val="00C67059"/>
    <w:rsid w:val="00C7790B"/>
    <w:rsid w:val="00C87853"/>
    <w:rsid w:val="00C958E9"/>
    <w:rsid w:val="00CB22A3"/>
    <w:rsid w:val="00CF3E09"/>
    <w:rsid w:val="00D03A1F"/>
    <w:rsid w:val="00D3362A"/>
    <w:rsid w:val="00D3422B"/>
    <w:rsid w:val="00D349FC"/>
    <w:rsid w:val="00D4791C"/>
    <w:rsid w:val="00D6736A"/>
    <w:rsid w:val="00D74F97"/>
    <w:rsid w:val="00D75C46"/>
    <w:rsid w:val="00DB571D"/>
    <w:rsid w:val="00DC0E88"/>
    <w:rsid w:val="00DC3837"/>
    <w:rsid w:val="00DD6F56"/>
    <w:rsid w:val="00DE6840"/>
    <w:rsid w:val="00DF443D"/>
    <w:rsid w:val="00E10225"/>
    <w:rsid w:val="00E201BE"/>
    <w:rsid w:val="00E26047"/>
    <w:rsid w:val="00E33110"/>
    <w:rsid w:val="00E365AB"/>
    <w:rsid w:val="00E77377"/>
    <w:rsid w:val="00E83A01"/>
    <w:rsid w:val="00E93109"/>
    <w:rsid w:val="00E94C3D"/>
    <w:rsid w:val="00E94D95"/>
    <w:rsid w:val="00EA5576"/>
    <w:rsid w:val="00ED7085"/>
    <w:rsid w:val="00F03E9E"/>
    <w:rsid w:val="00F06411"/>
    <w:rsid w:val="00F13D52"/>
    <w:rsid w:val="00F740F4"/>
    <w:rsid w:val="00F81F9D"/>
    <w:rsid w:val="00F86185"/>
    <w:rsid w:val="00FA1076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3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1"/>
    <w:pPr>
      <w:spacing w:after="200" w:line="276" w:lineRule="auto"/>
    </w:pPr>
    <w:rPr>
      <w:rFonts w:ascii="Calibri" w:eastAsia="Calibri" w:hAnsi="Calibri"/>
      <w:spacing w:val="0"/>
      <w:kern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7C1"/>
    <w:rPr>
      <w:color w:val="0000FF"/>
      <w:u w:val="single"/>
    </w:rPr>
  </w:style>
  <w:style w:type="paragraph" w:styleId="a4">
    <w:name w:val="footer"/>
    <w:basedOn w:val="a"/>
    <w:link w:val="a5"/>
    <w:rsid w:val="007857C1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7857C1"/>
    <w:rPr>
      <w:rFonts w:ascii="Calibri" w:eastAsia="Calibri" w:hAnsi="Calibri"/>
      <w:spacing w:val="0"/>
      <w:kern w:val="0"/>
      <w:sz w:val="22"/>
      <w:szCs w:val="22"/>
      <w:lang w:val="en-US"/>
    </w:rPr>
  </w:style>
  <w:style w:type="paragraph" w:styleId="a6">
    <w:name w:val="header"/>
    <w:basedOn w:val="a"/>
    <w:link w:val="a7"/>
    <w:rsid w:val="007857C1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857C1"/>
    <w:rPr>
      <w:rFonts w:ascii="Calibri" w:eastAsia="Calibri" w:hAnsi="Calibri"/>
      <w:spacing w:val="0"/>
      <w:kern w:val="0"/>
      <w:sz w:val="22"/>
      <w:szCs w:val="22"/>
      <w:lang w:val="en-US"/>
    </w:rPr>
  </w:style>
  <w:style w:type="paragraph" w:styleId="a8">
    <w:name w:val="List Paragraph"/>
    <w:basedOn w:val="a"/>
    <w:uiPriority w:val="34"/>
    <w:qFormat/>
    <w:rsid w:val="00812D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D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01517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4D75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75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7521"/>
    <w:rPr>
      <w:rFonts w:ascii="Calibri" w:eastAsia="Calibri" w:hAnsi="Calibri"/>
      <w:spacing w:val="0"/>
      <w:kern w:val="0"/>
      <w:sz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75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7521"/>
    <w:rPr>
      <w:rFonts w:ascii="Calibri" w:eastAsia="Calibri" w:hAnsi="Calibri"/>
      <w:b/>
      <w:bCs/>
      <w:spacing w:val="0"/>
      <w:kern w:val="0"/>
      <w:sz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D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521"/>
    <w:rPr>
      <w:rFonts w:ascii="Tahoma" w:eastAsia="Calibri" w:hAnsi="Tahoma" w:cs="Tahoma"/>
      <w:spacing w:val="0"/>
      <w:kern w:val="0"/>
      <w:sz w:val="16"/>
      <w:szCs w:val="16"/>
      <w:lang w:val="en-US"/>
    </w:rPr>
  </w:style>
  <w:style w:type="character" w:styleId="af2">
    <w:name w:val="Emphasis"/>
    <w:basedOn w:val="a0"/>
    <w:uiPriority w:val="20"/>
    <w:qFormat/>
    <w:rsid w:val="00D3422B"/>
    <w:rPr>
      <w:i/>
      <w:iCs/>
    </w:rPr>
  </w:style>
  <w:style w:type="paragraph" w:customStyle="1" w:styleId="Default">
    <w:name w:val="Default"/>
    <w:rsid w:val="00694A64"/>
    <w:pPr>
      <w:autoSpaceDE w:val="0"/>
      <w:autoSpaceDN w:val="0"/>
      <w:adjustRightInd w:val="0"/>
    </w:pPr>
    <w:rPr>
      <w:rFonts w:eastAsiaTheme="minorHAnsi"/>
      <w:color w:val="000000"/>
      <w:spacing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3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1"/>
    <w:pPr>
      <w:spacing w:after="200" w:line="276" w:lineRule="auto"/>
    </w:pPr>
    <w:rPr>
      <w:rFonts w:ascii="Calibri" w:eastAsia="Calibri" w:hAnsi="Calibri"/>
      <w:spacing w:val="0"/>
      <w:kern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7C1"/>
    <w:rPr>
      <w:color w:val="0000FF"/>
      <w:u w:val="single"/>
    </w:rPr>
  </w:style>
  <w:style w:type="paragraph" w:styleId="a4">
    <w:name w:val="footer"/>
    <w:basedOn w:val="a"/>
    <w:link w:val="a5"/>
    <w:rsid w:val="007857C1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7857C1"/>
    <w:rPr>
      <w:rFonts w:ascii="Calibri" w:eastAsia="Calibri" w:hAnsi="Calibri"/>
      <w:spacing w:val="0"/>
      <w:kern w:val="0"/>
      <w:sz w:val="22"/>
      <w:szCs w:val="22"/>
      <w:lang w:val="en-US"/>
    </w:rPr>
  </w:style>
  <w:style w:type="paragraph" w:styleId="a6">
    <w:name w:val="header"/>
    <w:basedOn w:val="a"/>
    <w:link w:val="a7"/>
    <w:rsid w:val="007857C1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857C1"/>
    <w:rPr>
      <w:rFonts w:ascii="Calibri" w:eastAsia="Calibri" w:hAnsi="Calibri"/>
      <w:spacing w:val="0"/>
      <w:kern w:val="0"/>
      <w:sz w:val="22"/>
      <w:szCs w:val="22"/>
      <w:lang w:val="en-US"/>
    </w:rPr>
  </w:style>
  <w:style w:type="paragraph" w:styleId="a8">
    <w:name w:val="List Paragraph"/>
    <w:basedOn w:val="a"/>
    <w:uiPriority w:val="34"/>
    <w:qFormat/>
    <w:rsid w:val="00812D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D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01517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4D75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75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7521"/>
    <w:rPr>
      <w:rFonts w:ascii="Calibri" w:eastAsia="Calibri" w:hAnsi="Calibri"/>
      <w:spacing w:val="0"/>
      <w:kern w:val="0"/>
      <w:sz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75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7521"/>
    <w:rPr>
      <w:rFonts w:ascii="Calibri" w:eastAsia="Calibri" w:hAnsi="Calibri"/>
      <w:b/>
      <w:bCs/>
      <w:spacing w:val="0"/>
      <w:kern w:val="0"/>
      <w:sz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D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521"/>
    <w:rPr>
      <w:rFonts w:ascii="Tahoma" w:eastAsia="Calibri" w:hAnsi="Tahoma" w:cs="Tahoma"/>
      <w:spacing w:val="0"/>
      <w:kern w:val="0"/>
      <w:sz w:val="16"/>
      <w:szCs w:val="16"/>
      <w:lang w:val="en-US"/>
    </w:rPr>
  </w:style>
  <w:style w:type="character" w:styleId="af2">
    <w:name w:val="Emphasis"/>
    <w:basedOn w:val="a0"/>
    <w:uiPriority w:val="20"/>
    <w:qFormat/>
    <w:rsid w:val="00D3422B"/>
    <w:rPr>
      <w:i/>
      <w:iCs/>
    </w:rPr>
  </w:style>
  <w:style w:type="paragraph" w:customStyle="1" w:styleId="Default">
    <w:name w:val="Default"/>
    <w:rsid w:val="00694A64"/>
    <w:pPr>
      <w:autoSpaceDE w:val="0"/>
      <w:autoSpaceDN w:val="0"/>
      <w:adjustRightInd w:val="0"/>
    </w:pPr>
    <w:rPr>
      <w:rFonts w:eastAsiaTheme="minorHAnsi"/>
      <w:color w:val="000000"/>
      <w:spacing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72;&#1084;&#1072;\Desktop\&#1089;&#1090;&#1072;&#1085;&#1076;&#1072;&#1088;&#1090;&#1091;%20BGN%20(&#1089;&#1077;&#1088;&#1074;&#1080;&#1089;%20https:\transliteration.pro\bgn-pcg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ote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ndeley.com/reference-management/reference-mana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EC3788-1ECE-47DF-8D27-1B2DCB3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ПК613</cp:lastModifiedBy>
  <cp:revision>2</cp:revision>
  <dcterms:created xsi:type="dcterms:W3CDTF">2022-09-29T08:12:00Z</dcterms:created>
  <dcterms:modified xsi:type="dcterms:W3CDTF">2022-09-29T08:12:00Z</dcterms:modified>
</cp:coreProperties>
</file>